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5"/>
        <w:gridCol w:w="74"/>
        <w:gridCol w:w="143"/>
        <w:gridCol w:w="1529"/>
        <w:gridCol w:w="99"/>
        <w:gridCol w:w="74"/>
        <w:gridCol w:w="143"/>
        <w:gridCol w:w="1454"/>
        <w:gridCol w:w="99"/>
      </w:tblGrid>
      <w:tr w:rsidR="006B353C">
        <w:trPr>
          <w:cantSplit/>
          <w:trHeight w:hRule="exact" w:val="285"/>
          <w:jc w:val="center"/>
        </w:trPr>
        <w:tc>
          <w:tcPr>
            <w:tcW w:w="5805" w:type="dxa"/>
            <w:tcBorders>
              <w:top w:val="nil"/>
              <w:left w:val="nil"/>
              <w:bottom w:val="nil"/>
              <w:right w:val="nil"/>
            </w:tcBorders>
            <w:tcMar>
              <w:top w:w="0" w:type="dxa"/>
              <w:left w:w="53" w:type="dxa"/>
              <w:bottom w:w="0" w:type="dxa"/>
              <w:right w:w="53" w:type="dxa"/>
            </w:tcMar>
            <w:vAlign w:val="bottom"/>
          </w:tcPr>
          <w:p w:rsidR="006B353C" w:rsidRDefault="002D356F">
            <w:pPr>
              <w:keepNext/>
              <w:spacing w:before="75" w:after="30" w:line="200" w:lineRule="auto"/>
            </w:pPr>
            <w:r>
              <w:rPr>
                <w:b/>
                <w:color w:val="000000"/>
                <w:sz w:val="20"/>
              </w:rPr>
              <w:t>Piedmont Office Realty Trust, Inc.</w:t>
            </w:r>
          </w:p>
        </w:tc>
        <w:tc>
          <w:tcPr>
            <w:tcW w:w="75" w:type="dxa"/>
            <w:tcBorders>
              <w:top w:val="nil"/>
              <w:left w:val="nil"/>
              <w:bottom w:val="nil"/>
              <w:right w:val="nil"/>
            </w:tcBorders>
            <w:tcMar>
              <w:top w:w="0" w:type="dxa"/>
              <w:left w:w="0" w:type="dxa"/>
              <w:bottom w:w="0" w:type="dxa"/>
              <w:right w:w="0" w:type="dxa"/>
            </w:tcMar>
            <w:vAlign w:val="bottom"/>
          </w:tcPr>
          <w:p w:rsidR="006B353C" w:rsidRDefault="006B353C">
            <w:pPr>
              <w:keepNext/>
            </w:pPr>
          </w:p>
        </w:tc>
        <w:tc>
          <w:tcPr>
            <w:tcW w:w="1740" w:type="dxa"/>
            <w:gridSpan w:val="3"/>
            <w:tcBorders>
              <w:top w:val="nil"/>
              <w:left w:val="nil"/>
              <w:bottom w:val="nil"/>
              <w:right w:val="nil"/>
            </w:tcBorders>
            <w:tcMar>
              <w:top w:w="0" w:type="dxa"/>
              <w:left w:w="0" w:type="dxa"/>
              <w:bottom w:w="0" w:type="dxa"/>
              <w:right w:w="0" w:type="dxa"/>
            </w:tcMar>
            <w:vAlign w:val="bottom"/>
          </w:tcPr>
          <w:p w:rsidR="006B353C" w:rsidRDefault="006B353C">
            <w:pPr>
              <w:keepNext/>
            </w:pPr>
          </w:p>
        </w:tc>
        <w:tc>
          <w:tcPr>
            <w:tcW w:w="75" w:type="dxa"/>
            <w:tcBorders>
              <w:top w:val="nil"/>
              <w:left w:val="nil"/>
              <w:bottom w:val="nil"/>
              <w:right w:val="nil"/>
            </w:tcBorders>
            <w:tcMar>
              <w:top w:w="0" w:type="dxa"/>
              <w:left w:w="0" w:type="dxa"/>
              <w:bottom w:w="0" w:type="dxa"/>
              <w:right w:w="0" w:type="dxa"/>
            </w:tcMar>
            <w:vAlign w:val="bottom"/>
          </w:tcPr>
          <w:p w:rsidR="006B353C" w:rsidRDefault="006B353C">
            <w:pPr>
              <w:keepNext/>
            </w:pPr>
          </w:p>
        </w:tc>
        <w:tc>
          <w:tcPr>
            <w:tcW w:w="1665" w:type="dxa"/>
            <w:gridSpan w:val="3"/>
            <w:tcBorders>
              <w:top w:val="nil"/>
              <w:left w:val="nil"/>
              <w:bottom w:val="nil"/>
              <w:right w:val="nil"/>
            </w:tcBorders>
            <w:tcMar>
              <w:top w:w="0" w:type="dxa"/>
              <w:left w:w="0" w:type="dxa"/>
              <w:bottom w:w="0" w:type="dxa"/>
              <w:right w:w="0" w:type="dxa"/>
            </w:tcMar>
            <w:vAlign w:val="bottom"/>
          </w:tcPr>
          <w:p w:rsidR="006B353C" w:rsidRDefault="006B353C">
            <w:pPr>
              <w:keepNext/>
            </w:pPr>
          </w:p>
        </w:tc>
      </w:tr>
      <w:tr w:rsidR="006B353C">
        <w:trPr>
          <w:cantSplit/>
          <w:trHeight w:hRule="exact" w:val="255"/>
          <w:jc w:val="center"/>
        </w:trPr>
        <w:tc>
          <w:tcPr>
            <w:tcW w:w="5805" w:type="dxa"/>
            <w:tcBorders>
              <w:top w:val="nil"/>
              <w:left w:val="nil"/>
              <w:bottom w:val="nil"/>
              <w:right w:val="nil"/>
            </w:tcBorders>
            <w:tcMar>
              <w:top w:w="0" w:type="dxa"/>
              <w:left w:w="53" w:type="dxa"/>
              <w:bottom w:w="0" w:type="dxa"/>
              <w:right w:w="53" w:type="dxa"/>
            </w:tcMar>
            <w:vAlign w:val="bottom"/>
          </w:tcPr>
          <w:p w:rsidR="006B353C" w:rsidRDefault="002D356F">
            <w:pPr>
              <w:keepNext/>
              <w:spacing w:before="75" w:after="30" w:line="200" w:lineRule="auto"/>
            </w:pPr>
            <w:r>
              <w:rPr>
                <w:b/>
                <w:color w:val="000000"/>
                <w:sz w:val="20"/>
              </w:rPr>
              <w:t>Consolidated Balance Sheets</w:t>
            </w:r>
          </w:p>
        </w:tc>
        <w:tc>
          <w:tcPr>
            <w:tcW w:w="75" w:type="dxa"/>
            <w:tcBorders>
              <w:top w:val="nil"/>
              <w:left w:val="nil"/>
              <w:bottom w:val="nil"/>
              <w:right w:val="nil"/>
            </w:tcBorders>
            <w:tcMar>
              <w:top w:w="0" w:type="dxa"/>
              <w:left w:w="0" w:type="dxa"/>
              <w:bottom w:w="0" w:type="dxa"/>
              <w:right w:w="0" w:type="dxa"/>
            </w:tcMar>
            <w:vAlign w:val="bottom"/>
          </w:tcPr>
          <w:p w:rsidR="006B353C" w:rsidRDefault="006B353C">
            <w:pPr>
              <w:keepNext/>
            </w:pPr>
          </w:p>
        </w:tc>
        <w:tc>
          <w:tcPr>
            <w:tcW w:w="1740" w:type="dxa"/>
            <w:gridSpan w:val="3"/>
            <w:tcBorders>
              <w:top w:val="nil"/>
              <w:left w:val="nil"/>
              <w:bottom w:val="nil"/>
              <w:right w:val="nil"/>
            </w:tcBorders>
            <w:tcMar>
              <w:top w:w="0" w:type="dxa"/>
              <w:left w:w="0" w:type="dxa"/>
              <w:bottom w:w="0" w:type="dxa"/>
              <w:right w:w="0" w:type="dxa"/>
            </w:tcMar>
            <w:vAlign w:val="bottom"/>
          </w:tcPr>
          <w:p w:rsidR="006B353C" w:rsidRDefault="006B353C">
            <w:pPr>
              <w:keepNext/>
            </w:pPr>
          </w:p>
        </w:tc>
        <w:tc>
          <w:tcPr>
            <w:tcW w:w="75" w:type="dxa"/>
            <w:tcBorders>
              <w:top w:val="nil"/>
              <w:left w:val="nil"/>
              <w:bottom w:val="nil"/>
              <w:right w:val="nil"/>
            </w:tcBorders>
            <w:tcMar>
              <w:top w:w="0" w:type="dxa"/>
              <w:left w:w="0" w:type="dxa"/>
              <w:bottom w:w="0" w:type="dxa"/>
              <w:right w:w="0" w:type="dxa"/>
            </w:tcMar>
            <w:vAlign w:val="bottom"/>
          </w:tcPr>
          <w:p w:rsidR="006B353C" w:rsidRDefault="006B353C">
            <w:pPr>
              <w:keepNext/>
            </w:pPr>
          </w:p>
        </w:tc>
        <w:tc>
          <w:tcPr>
            <w:tcW w:w="1665" w:type="dxa"/>
            <w:gridSpan w:val="3"/>
            <w:tcBorders>
              <w:top w:val="nil"/>
              <w:left w:val="nil"/>
              <w:bottom w:val="nil"/>
              <w:right w:val="nil"/>
            </w:tcBorders>
            <w:tcMar>
              <w:top w:w="0" w:type="dxa"/>
              <w:left w:w="0" w:type="dxa"/>
              <w:bottom w:w="0" w:type="dxa"/>
              <w:right w:w="0" w:type="dxa"/>
            </w:tcMar>
            <w:vAlign w:val="bottom"/>
          </w:tcPr>
          <w:p w:rsidR="006B353C" w:rsidRDefault="006B353C">
            <w:pPr>
              <w:keepNext/>
            </w:pPr>
          </w:p>
        </w:tc>
      </w:tr>
      <w:tr w:rsidR="006B353C">
        <w:trPr>
          <w:cantSplit/>
          <w:trHeight w:hRule="exact" w:val="255"/>
          <w:jc w:val="center"/>
        </w:trPr>
        <w:tc>
          <w:tcPr>
            <w:tcW w:w="5805" w:type="dxa"/>
            <w:tcBorders>
              <w:top w:val="nil"/>
              <w:left w:val="nil"/>
              <w:bottom w:val="nil"/>
              <w:right w:val="nil"/>
            </w:tcBorders>
            <w:tcMar>
              <w:top w:w="0" w:type="dxa"/>
              <w:left w:w="53" w:type="dxa"/>
              <w:bottom w:w="0" w:type="dxa"/>
              <w:right w:w="53" w:type="dxa"/>
            </w:tcMar>
            <w:vAlign w:val="bottom"/>
          </w:tcPr>
          <w:p w:rsidR="006B353C" w:rsidRDefault="002D356F">
            <w:pPr>
              <w:keepNext/>
              <w:spacing w:before="75" w:after="30" w:line="200" w:lineRule="auto"/>
            </w:pPr>
            <w:r>
              <w:rPr>
                <w:i/>
                <w:color w:val="000000"/>
                <w:sz w:val="20"/>
              </w:rPr>
              <w:t xml:space="preserve"> (in thousands)</w:t>
            </w:r>
          </w:p>
        </w:tc>
        <w:tc>
          <w:tcPr>
            <w:tcW w:w="75" w:type="dxa"/>
            <w:tcBorders>
              <w:top w:val="nil"/>
              <w:left w:val="nil"/>
              <w:bottom w:val="nil"/>
              <w:right w:val="nil"/>
            </w:tcBorders>
            <w:tcMar>
              <w:top w:w="0" w:type="dxa"/>
              <w:left w:w="0" w:type="dxa"/>
              <w:bottom w:w="0" w:type="dxa"/>
              <w:right w:w="0" w:type="dxa"/>
            </w:tcMar>
            <w:vAlign w:val="bottom"/>
          </w:tcPr>
          <w:p w:rsidR="006B353C" w:rsidRDefault="006B353C">
            <w:pPr>
              <w:keepNext/>
            </w:pPr>
          </w:p>
        </w:tc>
        <w:tc>
          <w:tcPr>
            <w:tcW w:w="1740" w:type="dxa"/>
            <w:gridSpan w:val="3"/>
            <w:tcBorders>
              <w:top w:val="nil"/>
              <w:left w:val="nil"/>
              <w:bottom w:val="nil"/>
              <w:right w:val="nil"/>
            </w:tcBorders>
            <w:tcMar>
              <w:top w:w="0" w:type="dxa"/>
              <w:left w:w="0" w:type="dxa"/>
              <w:bottom w:w="0" w:type="dxa"/>
              <w:right w:w="0" w:type="dxa"/>
            </w:tcMar>
            <w:vAlign w:val="bottom"/>
          </w:tcPr>
          <w:p w:rsidR="006B353C" w:rsidRDefault="006B353C">
            <w:pPr>
              <w:keepNext/>
            </w:pPr>
          </w:p>
        </w:tc>
        <w:tc>
          <w:tcPr>
            <w:tcW w:w="75" w:type="dxa"/>
            <w:tcBorders>
              <w:top w:val="nil"/>
              <w:left w:val="nil"/>
              <w:bottom w:val="nil"/>
              <w:right w:val="nil"/>
            </w:tcBorders>
            <w:tcMar>
              <w:top w:w="0" w:type="dxa"/>
              <w:left w:w="0" w:type="dxa"/>
              <w:bottom w:w="0" w:type="dxa"/>
              <w:right w:w="0" w:type="dxa"/>
            </w:tcMar>
            <w:vAlign w:val="bottom"/>
          </w:tcPr>
          <w:p w:rsidR="006B353C" w:rsidRDefault="006B353C">
            <w:pPr>
              <w:keepNext/>
            </w:pPr>
          </w:p>
        </w:tc>
        <w:tc>
          <w:tcPr>
            <w:tcW w:w="1665" w:type="dxa"/>
            <w:gridSpan w:val="3"/>
            <w:tcBorders>
              <w:top w:val="nil"/>
              <w:left w:val="nil"/>
              <w:bottom w:val="nil"/>
              <w:right w:val="nil"/>
            </w:tcBorders>
            <w:tcMar>
              <w:top w:w="0" w:type="dxa"/>
              <w:left w:w="0" w:type="dxa"/>
              <w:bottom w:w="0" w:type="dxa"/>
              <w:right w:w="0" w:type="dxa"/>
            </w:tcMar>
            <w:vAlign w:val="bottom"/>
          </w:tcPr>
          <w:p w:rsidR="006B353C" w:rsidRDefault="006B353C">
            <w:pPr>
              <w:keepNext/>
            </w:pPr>
          </w:p>
        </w:tc>
      </w:tr>
      <w:tr w:rsidR="006B353C">
        <w:trPr>
          <w:cantSplit/>
          <w:trHeight w:hRule="exact" w:val="135"/>
          <w:jc w:val="center"/>
        </w:trPr>
        <w:tc>
          <w:tcPr>
            <w:tcW w:w="5805" w:type="dxa"/>
            <w:tcBorders>
              <w:top w:val="single" w:sz="8" w:space="0" w:color="000000"/>
              <w:left w:val="nil"/>
              <w:bottom w:val="nil"/>
              <w:right w:val="nil"/>
            </w:tcBorders>
            <w:tcMar>
              <w:top w:w="0" w:type="dxa"/>
              <w:left w:w="0" w:type="dxa"/>
              <w:bottom w:w="0" w:type="dxa"/>
              <w:right w:w="0" w:type="dxa"/>
            </w:tcMar>
            <w:vAlign w:val="bottom"/>
          </w:tcPr>
          <w:p w:rsidR="006B353C" w:rsidRDefault="006B353C">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rsidR="006B353C" w:rsidRDefault="006B353C">
            <w:pPr>
              <w:keepNext/>
            </w:pPr>
          </w:p>
        </w:tc>
        <w:tc>
          <w:tcPr>
            <w:tcW w:w="1740" w:type="dxa"/>
            <w:gridSpan w:val="3"/>
            <w:tcBorders>
              <w:top w:val="single" w:sz="8" w:space="0" w:color="000000"/>
              <w:left w:val="nil"/>
              <w:bottom w:val="nil"/>
              <w:right w:val="nil"/>
            </w:tcBorders>
            <w:tcMar>
              <w:top w:w="0" w:type="dxa"/>
              <w:left w:w="0" w:type="dxa"/>
              <w:bottom w:w="0" w:type="dxa"/>
              <w:right w:w="0" w:type="dxa"/>
            </w:tcMar>
            <w:vAlign w:val="bottom"/>
          </w:tcPr>
          <w:p w:rsidR="006B353C" w:rsidRDefault="006B353C">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rsidR="006B353C" w:rsidRDefault="006B353C">
            <w:pPr>
              <w:keepNext/>
            </w:pPr>
          </w:p>
        </w:tc>
        <w:tc>
          <w:tcPr>
            <w:tcW w:w="1665" w:type="dxa"/>
            <w:gridSpan w:val="3"/>
            <w:tcBorders>
              <w:top w:val="single" w:sz="8" w:space="0" w:color="000000"/>
              <w:left w:val="nil"/>
              <w:bottom w:val="nil"/>
              <w:right w:val="nil"/>
            </w:tcBorders>
            <w:tcMar>
              <w:top w:w="0" w:type="dxa"/>
              <w:left w:w="0" w:type="dxa"/>
              <w:bottom w:w="0" w:type="dxa"/>
              <w:right w:w="0" w:type="dxa"/>
            </w:tcMar>
            <w:vAlign w:val="bottom"/>
          </w:tcPr>
          <w:p w:rsidR="006B353C" w:rsidRDefault="006B353C">
            <w:pPr>
              <w:keepNext/>
            </w:pPr>
          </w:p>
        </w:tc>
      </w:tr>
      <w:tr w:rsidR="006B353C">
        <w:trPr>
          <w:cantSplit/>
          <w:trHeight w:hRule="exact" w:val="375"/>
          <w:jc w:val="center"/>
        </w:trPr>
        <w:tc>
          <w:tcPr>
            <w:tcW w:w="5805" w:type="dxa"/>
            <w:tcBorders>
              <w:top w:val="nil"/>
              <w:left w:val="nil"/>
              <w:bottom w:val="nil"/>
              <w:right w:val="nil"/>
            </w:tcBorders>
            <w:tcMar>
              <w:top w:w="0" w:type="dxa"/>
              <w:left w:w="0" w:type="dxa"/>
              <w:bottom w:w="0" w:type="dxa"/>
              <w:right w:w="0" w:type="dxa"/>
            </w:tcMar>
            <w:vAlign w:val="bottom"/>
          </w:tcPr>
          <w:p w:rsidR="006B353C" w:rsidRDefault="006B353C">
            <w:pPr>
              <w:keepNext/>
            </w:pPr>
          </w:p>
        </w:tc>
        <w:tc>
          <w:tcPr>
            <w:tcW w:w="75" w:type="dxa"/>
            <w:tcBorders>
              <w:top w:val="nil"/>
              <w:left w:val="nil"/>
              <w:bottom w:val="nil"/>
              <w:right w:val="nil"/>
            </w:tcBorders>
            <w:tcMar>
              <w:top w:w="0" w:type="dxa"/>
              <w:left w:w="0" w:type="dxa"/>
              <w:bottom w:w="0" w:type="dxa"/>
              <w:right w:w="0" w:type="dxa"/>
            </w:tcMar>
            <w:vAlign w:val="bottom"/>
          </w:tcPr>
          <w:p w:rsidR="006B353C" w:rsidRDefault="006B353C">
            <w:pPr>
              <w:keepNext/>
            </w:pPr>
          </w:p>
        </w:tc>
        <w:tc>
          <w:tcPr>
            <w:tcW w:w="1740" w:type="dxa"/>
            <w:gridSpan w:val="3"/>
            <w:tcBorders>
              <w:top w:val="nil"/>
              <w:left w:val="nil"/>
              <w:bottom w:val="nil"/>
              <w:right w:val="nil"/>
            </w:tcBorders>
            <w:tcMar>
              <w:top w:w="0" w:type="dxa"/>
              <w:left w:w="53" w:type="dxa"/>
              <w:bottom w:w="0" w:type="dxa"/>
              <w:right w:w="53" w:type="dxa"/>
            </w:tcMar>
            <w:vAlign w:val="bottom"/>
          </w:tcPr>
          <w:p w:rsidR="006B353C" w:rsidRDefault="002D356F">
            <w:pPr>
              <w:keepNext/>
              <w:spacing w:before="75" w:after="30" w:line="200" w:lineRule="auto"/>
              <w:jc w:val="center"/>
            </w:pPr>
            <w:r>
              <w:rPr>
                <w:b/>
                <w:color w:val="000000"/>
                <w:sz w:val="18"/>
              </w:rPr>
              <w:t>March 31, 2020</w:t>
            </w:r>
          </w:p>
        </w:tc>
        <w:tc>
          <w:tcPr>
            <w:tcW w:w="75" w:type="dxa"/>
            <w:tcBorders>
              <w:top w:val="nil"/>
              <w:left w:val="nil"/>
              <w:bottom w:val="nil"/>
              <w:right w:val="nil"/>
            </w:tcBorders>
            <w:tcMar>
              <w:top w:w="0" w:type="dxa"/>
              <w:left w:w="0" w:type="dxa"/>
              <w:bottom w:w="0" w:type="dxa"/>
              <w:right w:w="0" w:type="dxa"/>
            </w:tcMar>
            <w:vAlign w:val="bottom"/>
          </w:tcPr>
          <w:p w:rsidR="006B353C" w:rsidRDefault="006B353C">
            <w:pPr>
              <w:keepNext/>
            </w:pPr>
          </w:p>
        </w:tc>
        <w:tc>
          <w:tcPr>
            <w:tcW w:w="1665" w:type="dxa"/>
            <w:gridSpan w:val="3"/>
            <w:tcBorders>
              <w:top w:val="nil"/>
              <w:left w:val="nil"/>
              <w:bottom w:val="nil"/>
              <w:right w:val="nil"/>
            </w:tcBorders>
            <w:tcMar>
              <w:top w:w="0" w:type="dxa"/>
              <w:left w:w="53" w:type="dxa"/>
              <w:bottom w:w="0" w:type="dxa"/>
              <w:right w:w="53" w:type="dxa"/>
            </w:tcMar>
            <w:vAlign w:val="bottom"/>
          </w:tcPr>
          <w:p w:rsidR="006B353C" w:rsidRDefault="002D356F">
            <w:pPr>
              <w:keepNext/>
              <w:spacing w:before="75" w:after="30" w:line="200" w:lineRule="auto"/>
              <w:jc w:val="center"/>
            </w:pPr>
            <w:r>
              <w:rPr>
                <w:b/>
                <w:color w:val="000000"/>
                <w:sz w:val="18"/>
              </w:rPr>
              <w:t>December 31, 2019</w:t>
            </w:r>
          </w:p>
        </w:tc>
      </w:tr>
      <w:tr w:rsidR="006B353C">
        <w:trPr>
          <w:cantSplit/>
          <w:trHeight w:hRule="exact" w:val="420"/>
          <w:jc w:val="center"/>
        </w:trPr>
        <w:tc>
          <w:tcPr>
            <w:tcW w:w="5805" w:type="dxa"/>
            <w:tcBorders>
              <w:top w:val="nil"/>
              <w:left w:val="nil"/>
              <w:bottom w:val="nil"/>
              <w:right w:val="nil"/>
            </w:tcBorders>
            <w:tcMar>
              <w:top w:w="0" w:type="dxa"/>
              <w:left w:w="0" w:type="dxa"/>
              <w:bottom w:w="0" w:type="dxa"/>
              <w:right w:w="0" w:type="dxa"/>
            </w:tcMar>
            <w:vAlign w:val="bottom"/>
          </w:tcPr>
          <w:p w:rsidR="006B353C" w:rsidRDefault="006B353C">
            <w:pPr>
              <w:keepNext/>
            </w:pPr>
          </w:p>
        </w:tc>
        <w:tc>
          <w:tcPr>
            <w:tcW w:w="75" w:type="dxa"/>
            <w:tcBorders>
              <w:top w:val="nil"/>
              <w:left w:val="nil"/>
              <w:bottom w:val="nil"/>
              <w:right w:val="nil"/>
            </w:tcBorders>
            <w:tcMar>
              <w:top w:w="0" w:type="dxa"/>
              <w:left w:w="0" w:type="dxa"/>
              <w:bottom w:w="0" w:type="dxa"/>
              <w:right w:w="0" w:type="dxa"/>
            </w:tcMar>
            <w:vAlign w:val="bottom"/>
          </w:tcPr>
          <w:p w:rsidR="006B353C" w:rsidRDefault="006B353C">
            <w:pPr>
              <w:keepNext/>
            </w:pPr>
          </w:p>
        </w:tc>
        <w:tc>
          <w:tcPr>
            <w:tcW w:w="1740" w:type="dxa"/>
            <w:gridSpan w:val="3"/>
            <w:tcBorders>
              <w:top w:val="single" w:sz="8" w:space="0" w:color="000000"/>
              <w:left w:val="nil"/>
              <w:bottom w:val="nil"/>
              <w:right w:val="nil"/>
            </w:tcBorders>
            <w:tcMar>
              <w:top w:w="0" w:type="dxa"/>
              <w:left w:w="53" w:type="dxa"/>
              <w:bottom w:w="0" w:type="dxa"/>
              <w:right w:w="53" w:type="dxa"/>
            </w:tcMar>
            <w:vAlign w:val="bottom"/>
          </w:tcPr>
          <w:p w:rsidR="006B353C" w:rsidRDefault="002D356F">
            <w:pPr>
              <w:keepNext/>
              <w:spacing w:before="55" w:after="30" w:line="200" w:lineRule="auto"/>
              <w:jc w:val="center"/>
            </w:pPr>
            <w:r>
              <w:rPr>
                <w:b/>
                <w:i/>
                <w:color w:val="000000"/>
                <w:sz w:val="18"/>
              </w:rPr>
              <w:t>(unaudited)</w:t>
            </w:r>
          </w:p>
        </w:tc>
        <w:tc>
          <w:tcPr>
            <w:tcW w:w="75" w:type="dxa"/>
            <w:tcBorders>
              <w:top w:val="nil"/>
              <w:left w:val="nil"/>
              <w:bottom w:val="nil"/>
              <w:right w:val="nil"/>
            </w:tcBorders>
            <w:tcMar>
              <w:top w:w="0" w:type="dxa"/>
              <w:left w:w="0" w:type="dxa"/>
              <w:bottom w:w="0" w:type="dxa"/>
              <w:right w:w="0" w:type="dxa"/>
            </w:tcMar>
            <w:vAlign w:val="bottom"/>
          </w:tcPr>
          <w:p w:rsidR="006B353C" w:rsidRDefault="006B353C">
            <w:pPr>
              <w:keepNext/>
            </w:pPr>
          </w:p>
        </w:tc>
        <w:tc>
          <w:tcPr>
            <w:tcW w:w="1665" w:type="dxa"/>
            <w:gridSpan w:val="3"/>
            <w:tcBorders>
              <w:top w:val="single" w:sz="8" w:space="0" w:color="000000"/>
              <w:left w:val="nil"/>
              <w:bottom w:val="nil"/>
              <w:right w:val="nil"/>
            </w:tcBorders>
            <w:tcMar>
              <w:top w:w="0" w:type="dxa"/>
              <w:left w:w="0" w:type="dxa"/>
              <w:bottom w:w="0" w:type="dxa"/>
              <w:right w:w="0" w:type="dxa"/>
            </w:tcMar>
            <w:vAlign w:val="bottom"/>
          </w:tcPr>
          <w:p w:rsidR="006B353C" w:rsidRDefault="006B353C">
            <w:pPr>
              <w:keepNext/>
            </w:pPr>
          </w:p>
        </w:tc>
      </w:tr>
      <w:tr w:rsidR="006B353C">
        <w:trPr>
          <w:cantSplit/>
          <w:trHeight w:hRule="exact" w:val="240"/>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6B353C" w:rsidRDefault="002D356F">
            <w:pPr>
              <w:keepNext/>
              <w:spacing w:before="75" w:after="30" w:line="200" w:lineRule="auto"/>
            </w:pPr>
            <w:r>
              <w:rPr>
                <w:b/>
                <w:color w:val="000000"/>
                <w:sz w:val="18"/>
              </w:rPr>
              <w:t>Assets: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740" w:type="dxa"/>
            <w:gridSpan w:val="3"/>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665" w:type="dxa"/>
            <w:gridSpan w:val="3"/>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r>
      <w:tr w:rsidR="006B353C">
        <w:trPr>
          <w:cantSplit/>
          <w:trHeight w:hRule="exact" w:val="240"/>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6B353C" w:rsidRDefault="002D356F">
            <w:pPr>
              <w:widowControl w:val="0"/>
              <w:spacing w:before="75" w:after="30" w:line="200" w:lineRule="auto"/>
              <w:ind w:firstLine="360"/>
              <w:rPr>
                <w:sz w:val="18"/>
              </w:rPr>
            </w:pPr>
            <w:r>
              <w:rPr>
                <w:sz w:val="18"/>
              </w:rPr>
              <w:t>Real estate assets, at cost: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740" w:type="dxa"/>
            <w:gridSpan w:val="3"/>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665" w:type="dxa"/>
            <w:gridSpan w:val="3"/>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r>
      <w:tr w:rsidR="006B353C">
        <w:trPr>
          <w:cantSplit/>
          <w:trHeight w:hRule="exact" w:val="240"/>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6B353C" w:rsidRDefault="002D356F">
            <w:pPr>
              <w:widowControl w:val="0"/>
              <w:spacing w:before="75" w:after="30" w:line="200" w:lineRule="auto"/>
              <w:ind w:firstLine="720"/>
              <w:rPr>
                <w:sz w:val="18"/>
              </w:rPr>
            </w:pPr>
            <w:r>
              <w:rPr>
                <w:sz w:val="18"/>
              </w:rPr>
              <w:t>Land</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00" w:type="dxa"/>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pPr>
            <w:r>
              <w:rPr>
                <w:color w:val="000000"/>
                <w:sz w:val="18"/>
              </w:rPr>
              <w:t>$</w:t>
            </w:r>
          </w:p>
        </w:tc>
        <w:tc>
          <w:tcPr>
            <w:tcW w:w="1540" w:type="dxa"/>
            <w:tcBorders>
              <w:top w:val="nil"/>
              <w:left w:val="nil"/>
              <w:bottom w:val="nil"/>
              <w:right w:val="nil"/>
            </w:tcBorders>
            <w:shd w:val="clear" w:color="auto" w:fill="FFFFFF"/>
            <w:tcMar>
              <w:top w:w="0" w:type="dxa"/>
              <w:left w:w="0" w:type="dxa"/>
              <w:bottom w:w="0" w:type="dxa"/>
              <w:right w:w="0" w:type="dxa"/>
            </w:tcMar>
            <w:vAlign w:val="bottom"/>
          </w:tcPr>
          <w:p w:rsidR="006B353C" w:rsidRDefault="002D356F">
            <w:pPr>
              <w:keepNext/>
              <w:spacing w:before="75" w:after="30" w:line="200" w:lineRule="auto"/>
              <w:jc w:val="right"/>
            </w:pPr>
            <w:r>
              <w:rPr>
                <w:color w:val="000000"/>
                <w:sz w:val="18"/>
              </w:rPr>
              <w:t>505,234 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00" w:type="dxa"/>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pPr>
            <w:r>
              <w:rPr>
                <w:color w:val="000000"/>
                <w:sz w:val="18"/>
              </w:rPr>
              <w:t>$</w:t>
            </w:r>
          </w:p>
        </w:tc>
        <w:tc>
          <w:tcPr>
            <w:tcW w:w="1465" w:type="dxa"/>
            <w:tcBorders>
              <w:top w:val="nil"/>
              <w:left w:val="nil"/>
              <w:bottom w:val="nil"/>
              <w:right w:val="nil"/>
            </w:tcBorders>
            <w:shd w:val="clear" w:color="auto" w:fill="FFFFFF"/>
            <w:tcMar>
              <w:top w:w="0" w:type="dxa"/>
              <w:left w:w="0" w:type="dxa"/>
              <w:bottom w:w="0" w:type="dxa"/>
              <w:right w:w="0" w:type="dxa"/>
            </w:tcMar>
            <w:vAlign w:val="bottom"/>
          </w:tcPr>
          <w:p w:rsidR="006B353C" w:rsidRDefault="002D356F">
            <w:pPr>
              <w:keepNext/>
              <w:spacing w:before="75" w:after="30" w:line="200" w:lineRule="auto"/>
              <w:jc w:val="right"/>
            </w:pPr>
            <w:r>
              <w:rPr>
                <w:color w:val="000000"/>
                <w:sz w:val="18"/>
              </w:rPr>
              <w:t>485,560 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255"/>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6B353C" w:rsidRDefault="002D356F">
            <w:pPr>
              <w:widowControl w:val="0"/>
              <w:spacing w:before="75" w:after="30" w:line="200" w:lineRule="auto"/>
              <w:ind w:firstLine="720"/>
              <w:rPr>
                <w:sz w:val="18"/>
              </w:rPr>
            </w:pPr>
            <w:r>
              <w:rPr>
                <w:sz w:val="18"/>
              </w:rPr>
              <w:t xml:space="preserve">Buildings and </w:t>
            </w:r>
            <w:r>
              <w:rPr>
                <w:sz w:val="18"/>
              </w:rPr>
              <w:t>improvements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640"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18"/>
              </w:rPr>
              <w:t>3,249,947 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565"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18"/>
              </w:rPr>
              <w:t>2,943,685 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255"/>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6B353C" w:rsidRDefault="002D356F">
            <w:pPr>
              <w:widowControl w:val="0"/>
              <w:spacing w:before="75" w:after="30" w:line="200" w:lineRule="auto"/>
              <w:ind w:firstLine="720"/>
              <w:rPr>
                <w:sz w:val="18"/>
              </w:rPr>
            </w:pPr>
            <w:r>
              <w:rPr>
                <w:sz w:val="18"/>
              </w:rPr>
              <w:t>Buildings and improvements, accumulated depreciation</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640"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18"/>
              </w:rPr>
              <w:t>(755,152)</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565"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18"/>
              </w:rPr>
              <w:t>(730,750)</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255"/>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6B353C" w:rsidRDefault="002D356F">
            <w:pPr>
              <w:widowControl w:val="0"/>
              <w:spacing w:before="75" w:after="30" w:line="200" w:lineRule="auto"/>
              <w:ind w:firstLine="720"/>
              <w:rPr>
                <w:sz w:val="18"/>
              </w:rPr>
            </w:pPr>
            <w:r>
              <w:rPr>
                <w:sz w:val="18"/>
              </w:rPr>
              <w:t>Intangible lease assets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640"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18"/>
              </w:rPr>
              <w:t>167,972 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565"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18"/>
              </w:rPr>
              <w:t>125,171 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255"/>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6B353C" w:rsidRDefault="002D356F">
            <w:pPr>
              <w:widowControl w:val="0"/>
              <w:spacing w:before="75" w:after="30" w:line="200" w:lineRule="auto"/>
              <w:ind w:firstLine="720"/>
              <w:rPr>
                <w:sz w:val="18"/>
              </w:rPr>
            </w:pPr>
            <w:r>
              <w:rPr>
                <w:sz w:val="18"/>
              </w:rPr>
              <w:t>Intangible lease assets, accumulated amortization</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640"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18"/>
              </w:rPr>
              <w:t>(52,538)</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565"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18"/>
              </w:rPr>
              <w:t>(50,766)</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255"/>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6B353C" w:rsidRDefault="002D356F">
            <w:pPr>
              <w:widowControl w:val="0"/>
              <w:spacing w:before="75" w:after="30" w:line="200" w:lineRule="auto"/>
              <w:ind w:firstLine="720"/>
              <w:rPr>
                <w:sz w:val="18"/>
              </w:rPr>
            </w:pPr>
            <w:r>
              <w:rPr>
                <w:sz w:val="18"/>
              </w:rPr>
              <w:t>Construction in progress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640"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18"/>
              </w:rPr>
              <w:t>42,028 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565"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18"/>
              </w:rPr>
              <w:t>29,920 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285"/>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6B353C" w:rsidRDefault="002D356F">
            <w:pPr>
              <w:keepNext/>
              <w:spacing w:before="75" w:after="30" w:line="200" w:lineRule="auto"/>
              <w:ind w:left="720"/>
            </w:pPr>
            <w:r>
              <w:rPr>
                <w:color w:val="000000"/>
                <w:sz w:val="18"/>
              </w:rPr>
              <w:t>Real estate assets held for sale, gross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640"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18"/>
              </w:rPr>
              <w:t>233,951 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565"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18"/>
              </w:rPr>
              <w:t>233,951 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465"/>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6B353C" w:rsidRDefault="002D356F">
            <w:pPr>
              <w:widowControl w:val="0"/>
              <w:spacing w:before="75" w:after="30" w:line="200" w:lineRule="auto"/>
              <w:ind w:left="810" w:hanging="90"/>
              <w:rPr>
                <w:sz w:val="18"/>
              </w:rPr>
            </w:pPr>
            <w:r>
              <w:rPr>
                <w:sz w:val="18"/>
              </w:rPr>
              <w:t>Real estate assets held for sale, accumulated depreciation and amortization</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640"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18"/>
              </w:rPr>
              <w:t>(96,164)</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565"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18"/>
              </w:rPr>
              <w:t>(94,261)</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285"/>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6B353C" w:rsidRDefault="002D356F">
            <w:pPr>
              <w:widowControl w:val="0"/>
              <w:spacing w:before="75" w:after="30" w:line="200" w:lineRule="auto"/>
              <w:ind w:firstLine="900"/>
              <w:rPr>
                <w:sz w:val="18"/>
              </w:rPr>
            </w:pPr>
            <w:r>
              <w:rPr>
                <w:sz w:val="18"/>
              </w:rPr>
              <w:t>Total real estate assets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640"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55" w:after="30" w:line="200" w:lineRule="auto"/>
              <w:jc w:val="right"/>
            </w:pPr>
            <w:r>
              <w:rPr>
                <w:b/>
                <w:color w:val="000000"/>
                <w:sz w:val="18"/>
              </w:rPr>
              <w:t>3,295,278 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56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55" w:after="30" w:line="200" w:lineRule="auto"/>
              <w:jc w:val="right"/>
            </w:pPr>
            <w:r>
              <w:rPr>
                <w:b/>
                <w:color w:val="000000"/>
                <w:sz w:val="18"/>
              </w:rPr>
              <w:t>2,942,510 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55" w:after="30" w:line="200" w:lineRule="auto"/>
            </w:pPr>
          </w:p>
        </w:tc>
      </w:tr>
      <w:tr w:rsidR="006B353C">
        <w:trPr>
          <w:cantSplit/>
          <w:trHeight w:hRule="exact" w:val="285"/>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6B353C" w:rsidRDefault="002D356F">
            <w:pPr>
              <w:widowControl w:val="0"/>
              <w:spacing w:before="75" w:after="30" w:line="200" w:lineRule="auto"/>
              <w:ind w:firstLine="360"/>
              <w:rPr>
                <w:sz w:val="18"/>
              </w:rPr>
            </w:pPr>
            <w:r>
              <w:rPr>
                <w:sz w:val="18"/>
              </w:rPr>
              <w:t>Cash and cash equivalents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640"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18"/>
              </w:rPr>
              <w:t>7,920 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565"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18"/>
              </w:rPr>
              <w:t>13,545 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285"/>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6B353C" w:rsidRDefault="002D356F">
            <w:pPr>
              <w:widowControl w:val="0"/>
              <w:spacing w:before="75" w:after="30" w:line="200" w:lineRule="auto"/>
              <w:ind w:firstLine="360"/>
              <w:rPr>
                <w:sz w:val="18"/>
              </w:rPr>
            </w:pPr>
            <w:r>
              <w:rPr>
                <w:sz w:val="18"/>
              </w:rPr>
              <w:t>Tenant receivables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640"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18"/>
              </w:rPr>
              <w:t>10,596 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565"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18"/>
              </w:rPr>
              <w:t>8,226 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285"/>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6B353C" w:rsidRDefault="002D356F">
            <w:pPr>
              <w:widowControl w:val="0"/>
              <w:spacing w:before="75" w:after="30" w:line="200" w:lineRule="auto"/>
              <w:ind w:left="360"/>
              <w:rPr>
                <w:sz w:val="18"/>
              </w:rPr>
            </w:pPr>
            <w:r>
              <w:rPr>
                <w:sz w:val="18"/>
              </w:rPr>
              <w:t>Straight line rent receivables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640"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18"/>
              </w:rPr>
              <w:t>139,617 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565"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18"/>
              </w:rPr>
              <w:t>132,342 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285"/>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6B353C" w:rsidRDefault="002D356F">
            <w:pPr>
              <w:widowControl w:val="0"/>
              <w:spacing w:before="75" w:after="30" w:line="200" w:lineRule="auto"/>
              <w:ind w:firstLine="360"/>
              <w:rPr>
                <w:sz w:val="18"/>
              </w:rPr>
            </w:pPr>
            <w:r>
              <w:rPr>
                <w:sz w:val="18"/>
              </w:rPr>
              <w:t>Restricted cash and escrows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640"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18"/>
              </w:rPr>
              <w:t>1,758 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565"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18"/>
              </w:rPr>
              <w:t>1,841 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285"/>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6B353C" w:rsidRDefault="002D356F">
            <w:pPr>
              <w:widowControl w:val="0"/>
              <w:spacing w:before="75" w:after="30" w:line="200" w:lineRule="auto"/>
              <w:ind w:firstLine="360"/>
              <w:rPr>
                <w:sz w:val="18"/>
              </w:rPr>
            </w:pPr>
            <w:r>
              <w:rPr>
                <w:sz w:val="18"/>
              </w:rPr>
              <w:t>Prepaid expenses and other assets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640"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18"/>
              </w:rPr>
              <w:t>23,933 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565"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18"/>
              </w:rPr>
              <w:t>25,427 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285"/>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6B353C" w:rsidRDefault="002D356F">
            <w:pPr>
              <w:widowControl w:val="0"/>
              <w:spacing w:before="75" w:after="30" w:line="200" w:lineRule="auto"/>
              <w:ind w:left="360"/>
              <w:rPr>
                <w:sz w:val="18"/>
              </w:rPr>
            </w:pPr>
            <w:r>
              <w:rPr>
                <w:sz w:val="18"/>
              </w:rPr>
              <w:t xml:space="preserve">Goodwill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640"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18"/>
              </w:rPr>
              <w:t>98,918 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565"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18"/>
              </w:rPr>
              <w:t>98,918 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285"/>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6B353C" w:rsidRDefault="002D356F">
            <w:pPr>
              <w:widowControl w:val="0"/>
              <w:spacing w:before="75" w:after="30" w:line="200" w:lineRule="auto"/>
              <w:ind w:left="360"/>
              <w:rPr>
                <w:sz w:val="18"/>
              </w:rPr>
            </w:pPr>
            <w:r>
              <w:rPr>
                <w:sz w:val="18"/>
              </w:rPr>
              <w:t>Deferred lease costs, gross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640"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18"/>
              </w:rPr>
              <w:t>463,760 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565"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18"/>
              </w:rPr>
              <w:t>413,071 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285"/>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6B353C" w:rsidRDefault="002D356F">
            <w:pPr>
              <w:widowControl w:val="0"/>
              <w:spacing w:before="75" w:after="30" w:line="200" w:lineRule="auto"/>
              <w:ind w:left="360"/>
              <w:rPr>
                <w:sz w:val="18"/>
              </w:rPr>
            </w:pPr>
            <w:r>
              <w:rPr>
                <w:sz w:val="18"/>
              </w:rPr>
              <w:t>Deferred lease costs, accumulated depreciation</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640"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18"/>
              </w:rPr>
              <w:t>(148,972)</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565"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18"/>
              </w:rPr>
              <w:t>(147,324)</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285"/>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6B353C" w:rsidRDefault="002D356F">
            <w:pPr>
              <w:widowControl w:val="0"/>
              <w:spacing w:before="75" w:after="30" w:line="200" w:lineRule="auto"/>
              <w:ind w:left="360"/>
              <w:rPr>
                <w:sz w:val="18"/>
              </w:rPr>
            </w:pPr>
            <w:r>
              <w:rPr>
                <w:sz w:val="18"/>
              </w:rPr>
              <w:t>Other assets held for sale, gross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640"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18"/>
              </w:rPr>
              <w:t>63,524 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565"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18"/>
              </w:rPr>
              <w:t>63,158 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285"/>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6B353C" w:rsidRDefault="002D356F">
            <w:pPr>
              <w:widowControl w:val="0"/>
              <w:spacing w:before="75" w:after="30" w:line="200" w:lineRule="auto"/>
              <w:ind w:left="360"/>
              <w:rPr>
                <w:sz w:val="18"/>
              </w:rPr>
            </w:pPr>
            <w:r>
              <w:rPr>
                <w:sz w:val="18"/>
              </w:rPr>
              <w:t xml:space="preserve">Other assets held for sale, </w:t>
            </w:r>
            <w:r>
              <w:rPr>
                <w:sz w:val="18"/>
              </w:rPr>
              <w:t>accumulated depreciation</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640"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18"/>
              </w:rPr>
              <w:t>(35,516)</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565"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18"/>
              </w:rPr>
              <w:t>(34,957)</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285"/>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6B353C" w:rsidRDefault="002D356F">
            <w:pPr>
              <w:keepNext/>
              <w:spacing w:before="75" w:after="30" w:line="200" w:lineRule="auto"/>
            </w:pPr>
            <w:r>
              <w:rPr>
                <w:b/>
                <w:color w:val="000000"/>
                <w:sz w:val="18"/>
              </w:rPr>
              <w:t>Total assets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0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55" w:after="30" w:line="200" w:lineRule="auto"/>
            </w:pPr>
            <w:r>
              <w:rPr>
                <w:b/>
                <w:color w:val="000000"/>
                <w:sz w:val="18"/>
              </w:rPr>
              <w:t>$</w:t>
            </w:r>
          </w:p>
        </w:tc>
        <w:tc>
          <w:tcPr>
            <w:tcW w:w="1540"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6B353C" w:rsidRDefault="002D356F">
            <w:pPr>
              <w:keepNext/>
              <w:spacing w:before="55" w:after="30" w:line="200" w:lineRule="auto"/>
              <w:jc w:val="right"/>
            </w:pPr>
            <w:r>
              <w:rPr>
                <w:b/>
                <w:color w:val="000000"/>
                <w:sz w:val="18"/>
              </w:rPr>
              <w:t>3,920,816 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0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55" w:after="30" w:line="200" w:lineRule="auto"/>
            </w:pPr>
            <w:r>
              <w:rPr>
                <w:b/>
                <w:color w:val="000000"/>
                <w:sz w:val="18"/>
              </w:rPr>
              <w:t>$</w:t>
            </w:r>
          </w:p>
        </w:tc>
        <w:tc>
          <w:tcPr>
            <w:tcW w:w="146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6B353C" w:rsidRDefault="002D356F">
            <w:pPr>
              <w:keepNext/>
              <w:spacing w:before="55" w:after="30" w:line="200" w:lineRule="auto"/>
              <w:jc w:val="right"/>
            </w:pPr>
            <w:r>
              <w:rPr>
                <w:b/>
                <w:color w:val="000000"/>
                <w:sz w:val="18"/>
              </w:rPr>
              <w:t>3,516,757 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55" w:after="30" w:line="200" w:lineRule="auto"/>
            </w:pPr>
          </w:p>
        </w:tc>
      </w:tr>
      <w:tr w:rsidR="006B353C">
        <w:trPr>
          <w:cantSplit/>
          <w:trHeight w:hRule="exact" w:val="240"/>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6B353C" w:rsidRDefault="002D356F">
            <w:pPr>
              <w:keepNext/>
              <w:spacing w:before="75" w:after="30" w:line="200" w:lineRule="auto"/>
            </w:pPr>
            <w:r>
              <w:rPr>
                <w:b/>
                <w:color w:val="000000"/>
                <w:sz w:val="18"/>
              </w:rPr>
              <w:t>Liabilities: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740" w:type="dxa"/>
            <w:gridSpan w:val="3"/>
            <w:tcBorders>
              <w:top w:val="double" w:sz="8" w:space="0" w:color="000000"/>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665" w:type="dxa"/>
            <w:gridSpan w:val="3"/>
            <w:tcBorders>
              <w:top w:val="double" w:sz="8" w:space="0" w:color="000000"/>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r>
      <w:tr w:rsidR="006B353C">
        <w:trPr>
          <w:cantSplit/>
          <w:trHeight w:hRule="exact" w:val="285"/>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6B353C" w:rsidRDefault="002D356F">
            <w:pPr>
              <w:widowControl w:val="0"/>
              <w:spacing w:before="75" w:after="30" w:line="200" w:lineRule="auto"/>
              <w:ind w:left="360"/>
              <w:rPr>
                <w:sz w:val="18"/>
              </w:rPr>
            </w:pPr>
            <w:r>
              <w:rPr>
                <w:sz w:val="18"/>
              </w:rPr>
              <w:t>Unsecured debt, net of discount and unamortized debt issuance costs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00" w:type="dxa"/>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pPr>
            <w:r>
              <w:rPr>
                <w:color w:val="000000"/>
                <w:sz w:val="18"/>
              </w:rPr>
              <w:t>$</w:t>
            </w:r>
          </w:p>
        </w:tc>
        <w:tc>
          <w:tcPr>
            <w:tcW w:w="1540" w:type="dxa"/>
            <w:tcBorders>
              <w:top w:val="nil"/>
              <w:left w:val="nil"/>
              <w:bottom w:val="nil"/>
              <w:right w:val="nil"/>
            </w:tcBorders>
            <w:shd w:val="clear" w:color="auto" w:fill="CCEEFF"/>
            <w:tcMar>
              <w:top w:w="0" w:type="dxa"/>
              <w:left w:w="0" w:type="dxa"/>
              <w:bottom w:w="0" w:type="dxa"/>
              <w:right w:w="0" w:type="dxa"/>
            </w:tcMar>
            <w:vAlign w:val="bottom"/>
          </w:tcPr>
          <w:p w:rsidR="006B353C" w:rsidRDefault="002D356F">
            <w:pPr>
              <w:keepNext/>
              <w:spacing w:before="75" w:after="30" w:line="200" w:lineRule="auto"/>
              <w:jc w:val="right"/>
            </w:pPr>
            <w:r>
              <w:rPr>
                <w:color w:val="000000"/>
                <w:sz w:val="18"/>
              </w:rPr>
              <w:t>1,743,905 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00" w:type="dxa"/>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pPr>
            <w:r>
              <w:rPr>
                <w:color w:val="000000"/>
                <w:sz w:val="18"/>
              </w:rPr>
              <w:t>$</w:t>
            </w:r>
          </w:p>
        </w:tc>
        <w:tc>
          <w:tcPr>
            <w:tcW w:w="1465" w:type="dxa"/>
            <w:tcBorders>
              <w:top w:val="nil"/>
              <w:left w:val="nil"/>
              <w:bottom w:val="nil"/>
              <w:right w:val="nil"/>
            </w:tcBorders>
            <w:shd w:val="clear" w:color="auto" w:fill="CCEEFF"/>
            <w:tcMar>
              <w:top w:w="0" w:type="dxa"/>
              <w:left w:w="0" w:type="dxa"/>
              <w:bottom w:w="0" w:type="dxa"/>
              <w:right w:w="0" w:type="dxa"/>
            </w:tcMar>
            <w:vAlign w:val="bottom"/>
          </w:tcPr>
          <w:p w:rsidR="006B353C" w:rsidRDefault="002D356F">
            <w:pPr>
              <w:keepNext/>
              <w:spacing w:before="75" w:after="30" w:line="200" w:lineRule="auto"/>
              <w:jc w:val="right"/>
            </w:pPr>
            <w:r>
              <w:rPr>
                <w:color w:val="000000"/>
                <w:sz w:val="18"/>
              </w:rPr>
              <w:t>1,292,374 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285"/>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6B353C" w:rsidRDefault="002D356F">
            <w:pPr>
              <w:widowControl w:val="0"/>
              <w:spacing w:before="75" w:after="30" w:line="200" w:lineRule="auto"/>
              <w:ind w:left="360"/>
              <w:rPr>
                <w:sz w:val="18"/>
              </w:rPr>
            </w:pPr>
            <w:r>
              <w:rPr>
                <w:sz w:val="18"/>
              </w:rPr>
              <w:t>Secured debt, inclusive of premiums and unamortized debt issuance costs</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640"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18"/>
              </w:rPr>
              <w:t>188,779 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565"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18"/>
              </w:rPr>
              <w:t>189,030 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285"/>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6B353C" w:rsidRDefault="002D356F">
            <w:pPr>
              <w:widowControl w:val="0"/>
              <w:spacing w:before="75" w:after="30" w:line="200" w:lineRule="auto"/>
              <w:ind w:left="540" w:hanging="180"/>
              <w:rPr>
                <w:sz w:val="18"/>
              </w:rPr>
            </w:pPr>
            <w:r>
              <w:rPr>
                <w:sz w:val="18"/>
              </w:rPr>
              <w:t>Accounts payable, accrued expenses, and accrued capital expenditures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640"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18"/>
              </w:rPr>
              <w:t>90,459 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565"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18"/>
              </w:rPr>
              <w:t>117,496 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285"/>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6B353C" w:rsidRDefault="002D356F">
            <w:pPr>
              <w:widowControl w:val="0"/>
              <w:spacing w:before="75" w:after="30" w:line="200" w:lineRule="auto"/>
              <w:ind w:left="360"/>
              <w:rPr>
                <w:sz w:val="18"/>
              </w:rPr>
            </w:pPr>
            <w:r>
              <w:rPr>
                <w:sz w:val="18"/>
              </w:rPr>
              <w:t>Dividends payable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640"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18"/>
              </w:rPr>
              <w:t>—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565"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18"/>
              </w:rPr>
              <w:t>26,427 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285"/>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6B353C" w:rsidRDefault="002D356F">
            <w:pPr>
              <w:widowControl w:val="0"/>
              <w:spacing w:before="75" w:after="30" w:line="200" w:lineRule="auto"/>
              <w:ind w:left="360"/>
              <w:rPr>
                <w:sz w:val="18"/>
              </w:rPr>
            </w:pPr>
            <w:r>
              <w:rPr>
                <w:sz w:val="18"/>
              </w:rPr>
              <w:t>Deferred income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640"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18"/>
              </w:rPr>
              <w:t>35,443 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565"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18"/>
              </w:rPr>
              <w:t>34,609 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285"/>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6B353C" w:rsidRDefault="002D356F">
            <w:pPr>
              <w:widowControl w:val="0"/>
              <w:spacing w:before="75" w:after="30" w:line="200" w:lineRule="auto"/>
              <w:ind w:left="360"/>
              <w:rPr>
                <w:sz w:val="18"/>
              </w:rPr>
            </w:pPr>
            <w:r>
              <w:rPr>
                <w:sz w:val="18"/>
              </w:rPr>
              <w:t>Intangible lease liabilities, less accumulated amortization</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640"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18"/>
              </w:rPr>
              <w:t>44,646 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565"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18"/>
              </w:rPr>
              <w:t>25,069 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285"/>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6B353C" w:rsidRDefault="002D356F">
            <w:pPr>
              <w:widowControl w:val="0"/>
              <w:spacing w:before="75" w:after="30" w:line="200" w:lineRule="auto"/>
              <w:ind w:left="360"/>
              <w:rPr>
                <w:sz w:val="18"/>
              </w:rPr>
            </w:pPr>
            <w:r>
              <w:rPr>
                <w:sz w:val="18"/>
              </w:rPr>
              <w:t>Interest rate swaps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640"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18"/>
              </w:rPr>
              <w:t>26,709 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565"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18"/>
              </w:rPr>
              <w:t>5,121 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285"/>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6B353C" w:rsidRDefault="002D356F">
            <w:pPr>
              <w:widowControl w:val="0"/>
              <w:spacing w:before="75" w:after="30" w:line="200" w:lineRule="auto"/>
              <w:ind w:left="360"/>
              <w:rPr>
                <w:sz w:val="18"/>
              </w:rPr>
            </w:pPr>
            <w:r>
              <w:rPr>
                <w:sz w:val="18"/>
              </w:rPr>
              <w:t>Other liabilities held for sale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640"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18"/>
              </w:rPr>
              <w:t>7,158 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565"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18"/>
              </w:rPr>
              <w:t>7,657 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300"/>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6B353C" w:rsidRDefault="002D356F">
            <w:pPr>
              <w:keepNext/>
              <w:spacing w:before="75" w:after="30" w:line="200" w:lineRule="auto"/>
            </w:pPr>
            <w:r>
              <w:rPr>
                <w:b/>
                <w:color w:val="000000"/>
                <w:sz w:val="18"/>
              </w:rPr>
              <w:t>Total liabilities</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640"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55" w:after="30" w:line="200" w:lineRule="auto"/>
              <w:jc w:val="right"/>
            </w:pPr>
            <w:r>
              <w:rPr>
                <w:b/>
                <w:color w:val="000000"/>
                <w:sz w:val="18"/>
              </w:rPr>
              <w:t>2,137,099 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56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55" w:after="30" w:line="200" w:lineRule="auto"/>
              <w:jc w:val="right"/>
            </w:pPr>
            <w:r>
              <w:rPr>
                <w:b/>
                <w:color w:val="000000"/>
                <w:sz w:val="18"/>
              </w:rPr>
              <w:t>1,697,783 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55" w:after="30" w:line="200" w:lineRule="auto"/>
            </w:pPr>
          </w:p>
        </w:tc>
      </w:tr>
      <w:tr w:rsidR="006B353C">
        <w:trPr>
          <w:cantSplit/>
          <w:trHeight w:hRule="exact" w:val="255"/>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6B353C" w:rsidRDefault="002D356F">
            <w:pPr>
              <w:keepNext/>
              <w:spacing w:before="75" w:after="30" w:line="200" w:lineRule="auto"/>
            </w:pPr>
            <w:r>
              <w:rPr>
                <w:b/>
                <w:color w:val="000000"/>
                <w:sz w:val="18"/>
              </w:rPr>
              <w:t>S</w:t>
            </w:r>
            <w:r>
              <w:rPr>
                <w:b/>
                <w:color w:val="000000"/>
                <w:sz w:val="18"/>
              </w:rPr>
              <w:t>tockholders' equity :</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740" w:type="dxa"/>
            <w:gridSpan w:val="3"/>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665" w:type="dxa"/>
            <w:gridSpan w:val="3"/>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r>
      <w:tr w:rsidR="006B353C">
        <w:trPr>
          <w:cantSplit/>
          <w:trHeight w:hRule="exact" w:val="300"/>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6B353C" w:rsidRDefault="002D356F">
            <w:pPr>
              <w:widowControl w:val="0"/>
              <w:spacing w:before="75" w:after="30" w:line="200" w:lineRule="auto"/>
              <w:ind w:left="360"/>
              <w:rPr>
                <w:sz w:val="18"/>
              </w:rPr>
            </w:pPr>
            <w:r>
              <w:rPr>
                <w:sz w:val="18"/>
              </w:rPr>
              <w:t>Common stock</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640"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18"/>
              </w:rPr>
              <w:t>1,259 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565"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18"/>
              </w:rPr>
              <w:t>1,258 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285"/>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6B353C" w:rsidRDefault="002D356F">
            <w:pPr>
              <w:widowControl w:val="0"/>
              <w:spacing w:before="75" w:after="30" w:line="200" w:lineRule="auto"/>
              <w:ind w:left="360"/>
              <w:rPr>
                <w:sz w:val="18"/>
              </w:rPr>
            </w:pPr>
            <w:r>
              <w:rPr>
                <w:sz w:val="18"/>
              </w:rPr>
              <w:t>Additional paid in capital</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640"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18"/>
              </w:rPr>
              <w:t>3,690,821 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565"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18"/>
              </w:rPr>
              <w:t>3,686,398 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285"/>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6B353C" w:rsidRDefault="002D356F">
            <w:pPr>
              <w:widowControl w:val="0"/>
              <w:spacing w:before="75" w:after="30" w:line="200" w:lineRule="auto"/>
              <w:ind w:left="360"/>
              <w:rPr>
                <w:sz w:val="18"/>
              </w:rPr>
            </w:pPr>
            <w:r>
              <w:rPr>
                <w:sz w:val="18"/>
              </w:rPr>
              <w:t xml:space="preserve">Cumulative distributions in excess of earnings </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640"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18"/>
              </w:rPr>
              <w:t>(1,889,109)</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565"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18"/>
              </w:rPr>
              <w:t>(1,871,375)</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285"/>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6B353C" w:rsidRDefault="002D356F">
            <w:pPr>
              <w:widowControl w:val="0"/>
              <w:spacing w:before="75" w:after="30" w:line="200" w:lineRule="auto"/>
              <w:ind w:left="360"/>
              <w:rPr>
                <w:sz w:val="18"/>
              </w:rPr>
            </w:pPr>
            <w:r>
              <w:rPr>
                <w:sz w:val="18"/>
              </w:rPr>
              <w:t>Other comprehensive income</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640"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18"/>
              </w:rPr>
              <w:t>(20,976)</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565"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18"/>
              </w:rPr>
              <w:t>967 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300"/>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6B353C" w:rsidRDefault="002D356F">
            <w:pPr>
              <w:keepNext/>
              <w:spacing w:before="75" w:after="30" w:line="200" w:lineRule="auto"/>
            </w:pPr>
            <w:r>
              <w:rPr>
                <w:b/>
                <w:color w:val="000000"/>
                <w:sz w:val="18"/>
              </w:rPr>
              <w:t xml:space="preserve">Piedmont </w:t>
            </w:r>
            <w:r>
              <w:rPr>
                <w:b/>
                <w:color w:val="000000"/>
                <w:sz w:val="18"/>
              </w:rPr>
              <w:t>stockholders' equity</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640"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55" w:after="30" w:line="200" w:lineRule="auto"/>
              <w:jc w:val="right"/>
            </w:pPr>
            <w:r>
              <w:rPr>
                <w:b/>
                <w:color w:val="000000"/>
                <w:sz w:val="18"/>
              </w:rPr>
              <w:t>1,781,995 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56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55" w:after="30" w:line="200" w:lineRule="auto"/>
              <w:jc w:val="right"/>
            </w:pPr>
            <w:r>
              <w:rPr>
                <w:b/>
                <w:color w:val="000000"/>
                <w:sz w:val="18"/>
              </w:rPr>
              <w:t>1,817,248 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55" w:after="30" w:line="200" w:lineRule="auto"/>
            </w:pPr>
          </w:p>
        </w:tc>
      </w:tr>
      <w:tr w:rsidR="006B353C">
        <w:trPr>
          <w:cantSplit/>
          <w:trHeight w:hRule="exact" w:val="285"/>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6B353C" w:rsidRDefault="002D356F">
            <w:pPr>
              <w:widowControl w:val="0"/>
              <w:spacing w:before="75" w:after="30" w:line="200" w:lineRule="auto"/>
              <w:ind w:left="360"/>
              <w:outlineLvl w:val="0"/>
              <w:rPr>
                <w:sz w:val="18"/>
              </w:rPr>
            </w:pPr>
            <w:r>
              <w:rPr>
                <w:sz w:val="18"/>
              </w:rPr>
              <w:t>N</w:t>
            </w:r>
            <w:r>
              <w:rPr>
                <w:sz w:val="18"/>
              </w:rPr>
              <w:t>on-controlling interest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640"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55" w:after="30" w:line="200" w:lineRule="auto"/>
              <w:jc w:val="right"/>
            </w:pPr>
            <w:r>
              <w:rPr>
                <w:color w:val="000000"/>
                <w:sz w:val="18"/>
              </w:rPr>
              <w:t>1,722 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56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55" w:after="30" w:line="200" w:lineRule="auto"/>
              <w:jc w:val="right"/>
            </w:pPr>
            <w:r>
              <w:rPr>
                <w:color w:val="000000"/>
                <w:sz w:val="18"/>
              </w:rPr>
              <w:t>1,726 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55" w:after="30" w:line="200" w:lineRule="auto"/>
            </w:pPr>
          </w:p>
        </w:tc>
      </w:tr>
      <w:tr w:rsidR="006B353C">
        <w:trPr>
          <w:cantSplit/>
          <w:trHeight w:hRule="exact" w:val="300"/>
          <w:jc w:val="center"/>
        </w:trPr>
        <w:tc>
          <w:tcPr>
            <w:tcW w:w="5805" w:type="dxa"/>
            <w:tcBorders>
              <w:top w:val="nil"/>
              <w:left w:val="nil"/>
              <w:bottom w:val="nil"/>
              <w:right w:val="nil"/>
            </w:tcBorders>
            <w:shd w:val="clear" w:color="auto" w:fill="CCEEFF"/>
            <w:tcMar>
              <w:top w:w="0" w:type="dxa"/>
              <w:left w:w="53" w:type="dxa"/>
              <w:bottom w:w="0" w:type="dxa"/>
              <w:right w:w="53" w:type="dxa"/>
            </w:tcMar>
            <w:vAlign w:val="bottom"/>
          </w:tcPr>
          <w:p w:rsidR="006B353C" w:rsidRDefault="002D356F">
            <w:pPr>
              <w:keepNext/>
              <w:spacing w:before="75" w:after="30" w:line="200" w:lineRule="auto"/>
            </w:pPr>
            <w:r>
              <w:rPr>
                <w:b/>
                <w:color w:val="000000"/>
                <w:sz w:val="18"/>
              </w:rPr>
              <w:t>Total stockholders' equity</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640"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55" w:after="30" w:line="200" w:lineRule="auto"/>
              <w:jc w:val="right"/>
            </w:pPr>
            <w:r>
              <w:rPr>
                <w:b/>
                <w:color w:val="000000"/>
                <w:sz w:val="18"/>
              </w:rPr>
              <w:t>1,783,717 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56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55" w:after="30" w:line="200" w:lineRule="auto"/>
              <w:jc w:val="right"/>
            </w:pPr>
            <w:r>
              <w:rPr>
                <w:b/>
                <w:color w:val="000000"/>
                <w:sz w:val="18"/>
              </w:rPr>
              <w:t>1,818,974 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55" w:after="30" w:line="200" w:lineRule="auto"/>
            </w:pPr>
          </w:p>
        </w:tc>
      </w:tr>
      <w:tr w:rsidR="006B353C">
        <w:trPr>
          <w:cantSplit/>
          <w:trHeight w:hRule="exact" w:val="300"/>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6B353C" w:rsidRDefault="002D356F">
            <w:pPr>
              <w:keepNext/>
              <w:spacing w:before="75" w:after="30" w:line="200" w:lineRule="auto"/>
            </w:pPr>
            <w:r>
              <w:rPr>
                <w:b/>
                <w:color w:val="000000"/>
                <w:sz w:val="18"/>
              </w:rPr>
              <w:t>T</w:t>
            </w:r>
            <w:r>
              <w:rPr>
                <w:b/>
                <w:color w:val="000000"/>
                <w:sz w:val="18"/>
              </w:rPr>
              <w:t>otal liabilities and stockholders' equity</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00" w:type="dxa"/>
            <w:tcBorders>
              <w:top w:val="single" w:sz="8" w:space="0" w:color="000000"/>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55" w:after="30" w:line="200" w:lineRule="auto"/>
            </w:pPr>
            <w:r>
              <w:rPr>
                <w:b/>
                <w:color w:val="000000"/>
                <w:sz w:val="18"/>
              </w:rPr>
              <w:t>$</w:t>
            </w:r>
          </w:p>
        </w:tc>
        <w:tc>
          <w:tcPr>
            <w:tcW w:w="1540" w:type="dxa"/>
            <w:tcBorders>
              <w:top w:val="single" w:sz="8" w:space="0" w:color="000000"/>
              <w:left w:val="nil"/>
              <w:bottom w:val="nil"/>
              <w:right w:val="nil"/>
            </w:tcBorders>
            <w:shd w:val="clear" w:color="auto" w:fill="FFFFFF"/>
            <w:tcMar>
              <w:top w:w="0" w:type="dxa"/>
              <w:left w:w="0" w:type="dxa"/>
              <w:bottom w:w="0" w:type="dxa"/>
              <w:right w:w="0" w:type="dxa"/>
            </w:tcMar>
            <w:vAlign w:val="bottom"/>
          </w:tcPr>
          <w:p w:rsidR="006B353C" w:rsidRDefault="002D356F">
            <w:pPr>
              <w:keepNext/>
              <w:spacing w:before="55" w:after="30" w:line="200" w:lineRule="auto"/>
              <w:jc w:val="right"/>
            </w:pPr>
            <w:r>
              <w:rPr>
                <w:b/>
                <w:color w:val="000000"/>
                <w:sz w:val="18"/>
              </w:rPr>
              <w:t>3,920,816 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00" w:type="dxa"/>
            <w:tcBorders>
              <w:top w:val="single" w:sz="8" w:space="0" w:color="000000"/>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55" w:after="30" w:line="200" w:lineRule="auto"/>
            </w:pPr>
            <w:r>
              <w:rPr>
                <w:b/>
                <w:color w:val="000000"/>
                <w:sz w:val="18"/>
              </w:rPr>
              <w:t>$</w:t>
            </w:r>
          </w:p>
        </w:tc>
        <w:tc>
          <w:tcPr>
            <w:tcW w:w="1465" w:type="dxa"/>
            <w:tcBorders>
              <w:top w:val="single" w:sz="8" w:space="0" w:color="000000"/>
              <w:left w:val="nil"/>
              <w:bottom w:val="nil"/>
              <w:right w:val="nil"/>
            </w:tcBorders>
            <w:shd w:val="clear" w:color="auto" w:fill="FFFFFF"/>
            <w:tcMar>
              <w:top w:w="0" w:type="dxa"/>
              <w:left w:w="0" w:type="dxa"/>
              <w:bottom w:w="0" w:type="dxa"/>
              <w:right w:w="0" w:type="dxa"/>
            </w:tcMar>
            <w:vAlign w:val="bottom"/>
          </w:tcPr>
          <w:p w:rsidR="006B353C" w:rsidRDefault="002D356F">
            <w:pPr>
              <w:keepNext/>
              <w:spacing w:before="55" w:after="30" w:line="200" w:lineRule="auto"/>
              <w:jc w:val="right"/>
            </w:pPr>
            <w:r>
              <w:rPr>
                <w:b/>
                <w:color w:val="000000"/>
                <w:sz w:val="18"/>
              </w:rPr>
              <w:t>3,516,757 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55" w:after="30" w:line="200" w:lineRule="auto"/>
            </w:pPr>
          </w:p>
        </w:tc>
      </w:tr>
      <w:tr w:rsidR="006B353C">
        <w:trPr>
          <w:cantSplit/>
          <w:trHeight w:hRule="exact" w:val="180"/>
          <w:jc w:val="center"/>
        </w:trPr>
        <w:tc>
          <w:tcPr>
            <w:tcW w:w="580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740" w:type="dxa"/>
            <w:gridSpan w:val="3"/>
            <w:tcBorders>
              <w:top w:val="double" w:sz="8" w:space="0" w:color="000000"/>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665" w:type="dxa"/>
            <w:gridSpan w:val="3"/>
            <w:tcBorders>
              <w:top w:val="double" w:sz="8" w:space="0" w:color="000000"/>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r>
      <w:tr w:rsidR="006B353C">
        <w:trPr>
          <w:cantSplit/>
          <w:trHeight w:hRule="exact" w:val="300"/>
          <w:jc w:val="center"/>
        </w:trPr>
        <w:tc>
          <w:tcPr>
            <w:tcW w:w="5805" w:type="dxa"/>
            <w:tcBorders>
              <w:top w:val="nil"/>
              <w:left w:val="nil"/>
              <w:bottom w:val="nil"/>
              <w:right w:val="nil"/>
            </w:tcBorders>
            <w:shd w:val="clear" w:color="auto" w:fill="FFFFFF"/>
            <w:tcMar>
              <w:top w:w="0" w:type="dxa"/>
              <w:left w:w="53" w:type="dxa"/>
              <w:bottom w:w="0" w:type="dxa"/>
              <w:right w:w="53" w:type="dxa"/>
            </w:tcMar>
            <w:vAlign w:val="bottom"/>
          </w:tcPr>
          <w:p w:rsidR="006B353C" w:rsidRDefault="002D356F">
            <w:pPr>
              <w:spacing w:before="75" w:after="30" w:line="200" w:lineRule="auto"/>
            </w:pPr>
            <w:r>
              <w:rPr>
                <w:i/>
                <w:color w:val="000000"/>
                <w:sz w:val="18"/>
              </w:rPr>
              <w:t>Number of shares of common stock outstanding as of end of period</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tc>
        <w:tc>
          <w:tcPr>
            <w:tcW w:w="1640"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spacing w:before="75" w:after="30" w:line="200" w:lineRule="auto"/>
              <w:jc w:val="right"/>
            </w:pPr>
            <w:r>
              <w:rPr>
                <w:i/>
                <w:color w:val="000000"/>
                <w:sz w:val="18"/>
              </w:rPr>
              <w:t>125,921 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tc>
        <w:tc>
          <w:tcPr>
            <w:tcW w:w="1565"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spacing w:before="75" w:after="30" w:line="200" w:lineRule="auto"/>
              <w:jc w:val="right"/>
            </w:pPr>
            <w:r>
              <w:rPr>
                <w:i/>
                <w:color w:val="000000"/>
                <w:sz w:val="18"/>
              </w:rPr>
              <w:t>125,783 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spacing w:before="75" w:after="30" w:line="200" w:lineRule="auto"/>
            </w:pPr>
          </w:p>
        </w:tc>
      </w:tr>
    </w:tbl>
    <w:p w:rsidR="00A77B3E" w:rsidRDefault="00A77B3E">
      <w:bookmarkStart w:id="0" w:name="Section1"/>
      <w:bookmarkEnd w:id="0"/>
    </w:p>
    <w:p w:rsidR="00A77B3E" w:rsidRDefault="00A77B3E">
      <w:pPr>
        <w:sectPr w:rsidR="00A77B3E">
          <w:headerReference w:type="default" r:id="rId6"/>
          <w:footerReference w:type="default" r:id="rId7"/>
          <w:pgSz w:w="12240" w:h="15840"/>
          <w:pgMar w:top="855" w:right="990" w:bottom="855" w:left="1890" w:header="270" w:footer="270" w:gutter="0"/>
          <w:cols w:space="720"/>
          <w:docGrid w:linePitch="360"/>
        </w:sectPr>
      </w:pPr>
    </w:p>
    <w:p w:rsidR="006B353C" w:rsidRDefault="006B353C">
      <w:pPr>
        <w:spacing w:before="120"/>
        <w:rPr>
          <w:sz w:val="20"/>
        </w:rPr>
      </w:pPr>
      <w:bookmarkStart w:id="1" w:name="Section2"/>
      <w:bookmarkEnd w:id="1"/>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7"/>
        <w:gridCol w:w="153"/>
        <w:gridCol w:w="1070"/>
        <w:gridCol w:w="99"/>
        <w:gridCol w:w="104"/>
        <w:gridCol w:w="153"/>
        <w:gridCol w:w="1055"/>
        <w:gridCol w:w="99"/>
      </w:tblGrid>
      <w:tr w:rsidR="006B353C">
        <w:trPr>
          <w:cantSplit/>
          <w:trHeight w:hRule="exact" w:val="300"/>
          <w:jc w:val="center"/>
        </w:trPr>
        <w:tc>
          <w:tcPr>
            <w:tcW w:w="7620" w:type="dxa"/>
            <w:tcBorders>
              <w:top w:val="nil"/>
              <w:left w:val="nil"/>
              <w:bottom w:val="nil"/>
              <w:right w:val="nil"/>
            </w:tcBorders>
            <w:tcMar>
              <w:top w:w="0" w:type="dxa"/>
              <w:left w:w="53" w:type="dxa"/>
              <w:bottom w:w="0" w:type="dxa"/>
              <w:right w:w="53" w:type="dxa"/>
            </w:tcMar>
            <w:vAlign w:val="bottom"/>
          </w:tcPr>
          <w:p w:rsidR="006B353C" w:rsidRDefault="002D356F">
            <w:pPr>
              <w:keepNext/>
              <w:spacing w:before="75" w:after="30" w:line="200" w:lineRule="auto"/>
            </w:pPr>
            <w:r>
              <w:rPr>
                <w:b/>
                <w:color w:val="000000"/>
                <w:sz w:val="20"/>
              </w:rPr>
              <w:t xml:space="preserve">Piedmont Office </w:t>
            </w:r>
            <w:r>
              <w:rPr>
                <w:b/>
                <w:color w:val="000000"/>
                <w:sz w:val="20"/>
              </w:rPr>
              <w:t>Realty Trust, Inc.</w:t>
            </w:r>
          </w:p>
        </w:tc>
        <w:tc>
          <w:tcPr>
            <w:tcW w:w="1275" w:type="dxa"/>
            <w:gridSpan w:val="3"/>
            <w:tcBorders>
              <w:top w:val="nil"/>
              <w:left w:val="nil"/>
              <w:bottom w:val="nil"/>
              <w:right w:val="nil"/>
            </w:tcBorders>
            <w:tcMar>
              <w:top w:w="0" w:type="dxa"/>
              <w:left w:w="0" w:type="dxa"/>
              <w:bottom w:w="0" w:type="dxa"/>
              <w:right w:w="0" w:type="dxa"/>
            </w:tcMar>
            <w:vAlign w:val="bottom"/>
          </w:tcPr>
          <w:p w:rsidR="006B353C" w:rsidRDefault="006B353C">
            <w:pPr>
              <w:keepNext/>
            </w:pPr>
          </w:p>
        </w:tc>
        <w:tc>
          <w:tcPr>
            <w:tcW w:w="105" w:type="dxa"/>
            <w:tcBorders>
              <w:top w:val="nil"/>
              <w:left w:val="nil"/>
              <w:bottom w:val="nil"/>
              <w:right w:val="nil"/>
            </w:tcBorders>
            <w:tcMar>
              <w:top w:w="0" w:type="dxa"/>
              <w:left w:w="0" w:type="dxa"/>
              <w:bottom w:w="0" w:type="dxa"/>
              <w:right w:w="0" w:type="dxa"/>
            </w:tcMar>
            <w:vAlign w:val="bottom"/>
          </w:tcPr>
          <w:p w:rsidR="006B353C" w:rsidRDefault="006B353C">
            <w:pPr>
              <w:keepNext/>
            </w:pPr>
          </w:p>
        </w:tc>
        <w:tc>
          <w:tcPr>
            <w:tcW w:w="1260" w:type="dxa"/>
            <w:gridSpan w:val="3"/>
            <w:tcBorders>
              <w:top w:val="nil"/>
              <w:left w:val="nil"/>
              <w:bottom w:val="nil"/>
              <w:right w:val="nil"/>
            </w:tcBorders>
            <w:tcMar>
              <w:top w:w="0" w:type="dxa"/>
              <w:left w:w="0" w:type="dxa"/>
              <w:bottom w:w="0" w:type="dxa"/>
              <w:right w:w="0" w:type="dxa"/>
            </w:tcMar>
            <w:vAlign w:val="bottom"/>
          </w:tcPr>
          <w:p w:rsidR="006B353C" w:rsidRDefault="006B353C">
            <w:pPr>
              <w:keepNext/>
            </w:pPr>
          </w:p>
        </w:tc>
      </w:tr>
      <w:tr w:rsidR="006B353C">
        <w:trPr>
          <w:cantSplit/>
          <w:trHeight w:hRule="exact" w:val="300"/>
          <w:jc w:val="center"/>
        </w:trPr>
        <w:tc>
          <w:tcPr>
            <w:tcW w:w="7620" w:type="dxa"/>
            <w:tcBorders>
              <w:top w:val="nil"/>
              <w:left w:val="nil"/>
              <w:bottom w:val="nil"/>
              <w:right w:val="nil"/>
            </w:tcBorders>
            <w:tcMar>
              <w:top w:w="0" w:type="dxa"/>
              <w:left w:w="53" w:type="dxa"/>
              <w:bottom w:w="0" w:type="dxa"/>
              <w:right w:w="53" w:type="dxa"/>
            </w:tcMar>
            <w:vAlign w:val="bottom"/>
          </w:tcPr>
          <w:p w:rsidR="006B353C" w:rsidRDefault="002D356F">
            <w:pPr>
              <w:keepNext/>
              <w:spacing w:before="75" w:after="30" w:line="200" w:lineRule="auto"/>
            </w:pPr>
            <w:r>
              <w:rPr>
                <w:b/>
                <w:color w:val="000000"/>
                <w:sz w:val="20"/>
              </w:rPr>
              <w:t>Consolidated Statements of Income</w:t>
            </w:r>
          </w:p>
        </w:tc>
        <w:tc>
          <w:tcPr>
            <w:tcW w:w="1275" w:type="dxa"/>
            <w:gridSpan w:val="3"/>
            <w:tcBorders>
              <w:top w:val="nil"/>
              <w:left w:val="nil"/>
              <w:bottom w:val="nil"/>
              <w:right w:val="nil"/>
            </w:tcBorders>
            <w:tcMar>
              <w:top w:w="0" w:type="dxa"/>
              <w:left w:w="0" w:type="dxa"/>
              <w:bottom w:w="0" w:type="dxa"/>
              <w:right w:w="0" w:type="dxa"/>
            </w:tcMar>
            <w:vAlign w:val="bottom"/>
          </w:tcPr>
          <w:p w:rsidR="006B353C" w:rsidRDefault="006B353C">
            <w:pPr>
              <w:keepNext/>
            </w:pPr>
          </w:p>
        </w:tc>
        <w:tc>
          <w:tcPr>
            <w:tcW w:w="105" w:type="dxa"/>
            <w:tcBorders>
              <w:top w:val="nil"/>
              <w:left w:val="nil"/>
              <w:bottom w:val="nil"/>
              <w:right w:val="nil"/>
            </w:tcBorders>
            <w:tcMar>
              <w:top w:w="0" w:type="dxa"/>
              <w:left w:w="0" w:type="dxa"/>
              <w:bottom w:w="0" w:type="dxa"/>
              <w:right w:w="0" w:type="dxa"/>
            </w:tcMar>
            <w:vAlign w:val="bottom"/>
          </w:tcPr>
          <w:p w:rsidR="006B353C" w:rsidRDefault="006B353C">
            <w:pPr>
              <w:keepNext/>
            </w:pPr>
          </w:p>
        </w:tc>
        <w:tc>
          <w:tcPr>
            <w:tcW w:w="1260" w:type="dxa"/>
            <w:gridSpan w:val="3"/>
            <w:tcBorders>
              <w:top w:val="nil"/>
              <w:left w:val="nil"/>
              <w:bottom w:val="nil"/>
              <w:right w:val="nil"/>
            </w:tcBorders>
            <w:tcMar>
              <w:top w:w="0" w:type="dxa"/>
              <w:left w:w="0" w:type="dxa"/>
              <w:bottom w:w="0" w:type="dxa"/>
              <w:right w:w="0" w:type="dxa"/>
            </w:tcMar>
            <w:vAlign w:val="bottom"/>
          </w:tcPr>
          <w:p w:rsidR="006B353C" w:rsidRDefault="006B353C">
            <w:pPr>
              <w:keepNext/>
            </w:pPr>
          </w:p>
        </w:tc>
      </w:tr>
      <w:tr w:rsidR="006B353C">
        <w:trPr>
          <w:cantSplit/>
          <w:trHeight w:hRule="exact" w:val="300"/>
          <w:jc w:val="center"/>
        </w:trPr>
        <w:tc>
          <w:tcPr>
            <w:tcW w:w="7620" w:type="dxa"/>
            <w:tcBorders>
              <w:top w:val="nil"/>
              <w:left w:val="nil"/>
              <w:bottom w:val="nil"/>
              <w:right w:val="nil"/>
            </w:tcBorders>
            <w:tcMar>
              <w:top w:w="0" w:type="dxa"/>
              <w:left w:w="53" w:type="dxa"/>
              <w:bottom w:w="0" w:type="dxa"/>
              <w:right w:w="53" w:type="dxa"/>
            </w:tcMar>
            <w:vAlign w:val="bottom"/>
          </w:tcPr>
          <w:p w:rsidR="006B353C" w:rsidRDefault="002D356F">
            <w:pPr>
              <w:keepNext/>
              <w:spacing w:before="75" w:after="30" w:line="200" w:lineRule="auto"/>
            </w:pPr>
            <w:r>
              <w:rPr>
                <w:b/>
                <w:i/>
                <w:color w:val="000000"/>
                <w:sz w:val="20"/>
              </w:rPr>
              <w:t>Unaudited (in thousands, except for per share data)</w:t>
            </w:r>
          </w:p>
        </w:tc>
        <w:tc>
          <w:tcPr>
            <w:tcW w:w="1275" w:type="dxa"/>
            <w:gridSpan w:val="3"/>
            <w:tcBorders>
              <w:top w:val="nil"/>
              <w:left w:val="nil"/>
              <w:bottom w:val="nil"/>
              <w:right w:val="nil"/>
            </w:tcBorders>
            <w:tcMar>
              <w:top w:w="0" w:type="dxa"/>
              <w:left w:w="0" w:type="dxa"/>
              <w:bottom w:w="0" w:type="dxa"/>
              <w:right w:w="0" w:type="dxa"/>
            </w:tcMar>
            <w:vAlign w:val="bottom"/>
          </w:tcPr>
          <w:p w:rsidR="006B353C" w:rsidRDefault="006B353C">
            <w:pPr>
              <w:keepNext/>
            </w:pPr>
          </w:p>
        </w:tc>
        <w:tc>
          <w:tcPr>
            <w:tcW w:w="105" w:type="dxa"/>
            <w:tcBorders>
              <w:top w:val="nil"/>
              <w:left w:val="nil"/>
              <w:bottom w:val="nil"/>
              <w:right w:val="nil"/>
            </w:tcBorders>
            <w:tcMar>
              <w:top w:w="0" w:type="dxa"/>
              <w:left w:w="0" w:type="dxa"/>
              <w:bottom w:w="0" w:type="dxa"/>
              <w:right w:w="0" w:type="dxa"/>
            </w:tcMar>
            <w:vAlign w:val="bottom"/>
          </w:tcPr>
          <w:p w:rsidR="006B353C" w:rsidRDefault="006B353C">
            <w:pPr>
              <w:keepNext/>
            </w:pPr>
          </w:p>
        </w:tc>
        <w:tc>
          <w:tcPr>
            <w:tcW w:w="1260" w:type="dxa"/>
            <w:gridSpan w:val="3"/>
            <w:tcBorders>
              <w:top w:val="nil"/>
              <w:left w:val="nil"/>
              <w:bottom w:val="nil"/>
              <w:right w:val="nil"/>
            </w:tcBorders>
            <w:tcMar>
              <w:top w:w="0" w:type="dxa"/>
              <w:left w:w="0" w:type="dxa"/>
              <w:bottom w:w="0" w:type="dxa"/>
              <w:right w:w="0" w:type="dxa"/>
            </w:tcMar>
            <w:vAlign w:val="bottom"/>
          </w:tcPr>
          <w:p w:rsidR="006B353C" w:rsidRDefault="006B353C">
            <w:pPr>
              <w:keepNext/>
            </w:pPr>
          </w:p>
        </w:tc>
      </w:tr>
      <w:tr w:rsidR="006B353C">
        <w:trPr>
          <w:cantSplit/>
          <w:trHeight w:hRule="exact" w:val="75"/>
          <w:jc w:val="center"/>
        </w:trPr>
        <w:tc>
          <w:tcPr>
            <w:tcW w:w="7620" w:type="dxa"/>
            <w:tcBorders>
              <w:top w:val="single" w:sz="8" w:space="0" w:color="000000"/>
              <w:left w:val="nil"/>
              <w:bottom w:val="nil"/>
              <w:right w:val="nil"/>
            </w:tcBorders>
            <w:tcMar>
              <w:top w:w="0" w:type="dxa"/>
              <w:left w:w="0" w:type="dxa"/>
              <w:bottom w:w="0" w:type="dxa"/>
              <w:right w:w="0" w:type="dxa"/>
            </w:tcMar>
            <w:vAlign w:val="bottom"/>
          </w:tcPr>
          <w:p w:rsidR="006B353C" w:rsidRDefault="006B353C">
            <w:pPr>
              <w:keepNext/>
            </w:pPr>
          </w:p>
        </w:tc>
        <w:tc>
          <w:tcPr>
            <w:tcW w:w="1275" w:type="dxa"/>
            <w:gridSpan w:val="3"/>
            <w:tcBorders>
              <w:top w:val="single" w:sz="8" w:space="0" w:color="000000"/>
              <w:left w:val="nil"/>
              <w:bottom w:val="nil"/>
              <w:right w:val="nil"/>
            </w:tcBorders>
            <w:tcMar>
              <w:top w:w="0" w:type="dxa"/>
              <w:left w:w="0" w:type="dxa"/>
              <w:bottom w:w="0" w:type="dxa"/>
              <w:right w:w="0" w:type="dxa"/>
            </w:tcMar>
            <w:vAlign w:val="bottom"/>
          </w:tcPr>
          <w:p w:rsidR="006B353C" w:rsidRDefault="006B353C">
            <w:pPr>
              <w:keepNext/>
            </w:pPr>
          </w:p>
        </w:tc>
        <w:tc>
          <w:tcPr>
            <w:tcW w:w="105" w:type="dxa"/>
            <w:tcBorders>
              <w:top w:val="single" w:sz="8" w:space="0" w:color="000000"/>
              <w:left w:val="nil"/>
              <w:bottom w:val="nil"/>
              <w:right w:val="nil"/>
            </w:tcBorders>
            <w:tcMar>
              <w:top w:w="0" w:type="dxa"/>
              <w:left w:w="0" w:type="dxa"/>
              <w:bottom w:w="0" w:type="dxa"/>
              <w:right w:w="0" w:type="dxa"/>
            </w:tcMar>
            <w:vAlign w:val="bottom"/>
          </w:tcPr>
          <w:p w:rsidR="006B353C" w:rsidRDefault="006B353C">
            <w:pPr>
              <w:keepNext/>
            </w:pPr>
          </w:p>
        </w:tc>
        <w:tc>
          <w:tcPr>
            <w:tcW w:w="1260" w:type="dxa"/>
            <w:gridSpan w:val="3"/>
            <w:tcBorders>
              <w:top w:val="single" w:sz="8" w:space="0" w:color="000000"/>
              <w:left w:val="nil"/>
              <w:bottom w:val="nil"/>
              <w:right w:val="nil"/>
            </w:tcBorders>
            <w:tcMar>
              <w:top w:w="0" w:type="dxa"/>
              <w:left w:w="0" w:type="dxa"/>
              <w:bottom w:w="0" w:type="dxa"/>
              <w:right w:w="0" w:type="dxa"/>
            </w:tcMar>
            <w:vAlign w:val="bottom"/>
          </w:tcPr>
          <w:p w:rsidR="006B353C" w:rsidRDefault="006B353C">
            <w:pPr>
              <w:keepNext/>
            </w:pPr>
          </w:p>
        </w:tc>
      </w:tr>
      <w:tr w:rsidR="006B353C">
        <w:trPr>
          <w:cantSplit/>
          <w:trHeight w:hRule="exact" w:val="495"/>
          <w:jc w:val="center"/>
        </w:trPr>
        <w:tc>
          <w:tcPr>
            <w:tcW w:w="7620" w:type="dxa"/>
            <w:tcBorders>
              <w:top w:val="nil"/>
              <w:left w:val="nil"/>
              <w:bottom w:val="nil"/>
              <w:right w:val="nil"/>
            </w:tcBorders>
            <w:tcMar>
              <w:top w:w="0" w:type="dxa"/>
              <w:left w:w="0" w:type="dxa"/>
              <w:bottom w:w="0" w:type="dxa"/>
              <w:right w:w="0" w:type="dxa"/>
            </w:tcMar>
            <w:vAlign w:val="bottom"/>
          </w:tcPr>
          <w:p w:rsidR="006B353C" w:rsidRDefault="006B353C">
            <w:pPr>
              <w:keepNext/>
            </w:pPr>
          </w:p>
        </w:tc>
        <w:tc>
          <w:tcPr>
            <w:tcW w:w="2640" w:type="dxa"/>
            <w:gridSpan w:val="7"/>
            <w:tcBorders>
              <w:top w:val="nil"/>
              <w:left w:val="nil"/>
              <w:bottom w:val="nil"/>
              <w:right w:val="nil"/>
            </w:tcBorders>
            <w:tcMar>
              <w:top w:w="0" w:type="dxa"/>
              <w:left w:w="53" w:type="dxa"/>
              <w:bottom w:w="0" w:type="dxa"/>
              <w:right w:w="53" w:type="dxa"/>
            </w:tcMar>
            <w:vAlign w:val="bottom"/>
          </w:tcPr>
          <w:p w:rsidR="006B353C" w:rsidRDefault="002D356F">
            <w:pPr>
              <w:keepNext/>
              <w:spacing w:before="75" w:after="30" w:line="200" w:lineRule="auto"/>
              <w:jc w:val="center"/>
            </w:pPr>
            <w:r>
              <w:rPr>
                <w:b/>
                <w:color w:val="000000"/>
                <w:sz w:val="20"/>
              </w:rPr>
              <w:t>Three Months Ended</w:t>
            </w:r>
          </w:p>
        </w:tc>
      </w:tr>
      <w:tr w:rsidR="006B353C">
        <w:trPr>
          <w:cantSplit/>
          <w:trHeight w:hRule="exact" w:val="495"/>
          <w:jc w:val="center"/>
        </w:trPr>
        <w:tc>
          <w:tcPr>
            <w:tcW w:w="7620" w:type="dxa"/>
            <w:tcBorders>
              <w:top w:val="nil"/>
              <w:left w:val="nil"/>
              <w:bottom w:val="nil"/>
              <w:right w:val="nil"/>
            </w:tcBorders>
            <w:tcMar>
              <w:top w:w="0" w:type="dxa"/>
              <w:left w:w="0" w:type="dxa"/>
              <w:bottom w:w="0" w:type="dxa"/>
              <w:right w:w="0" w:type="dxa"/>
            </w:tcMar>
            <w:vAlign w:val="bottom"/>
          </w:tcPr>
          <w:p w:rsidR="006B353C" w:rsidRDefault="006B353C">
            <w:pPr>
              <w:keepNext/>
            </w:pPr>
          </w:p>
        </w:tc>
        <w:tc>
          <w:tcPr>
            <w:tcW w:w="1275" w:type="dxa"/>
            <w:gridSpan w:val="3"/>
            <w:tcBorders>
              <w:top w:val="single" w:sz="8" w:space="0" w:color="000000"/>
              <w:left w:val="nil"/>
              <w:bottom w:val="nil"/>
              <w:right w:val="nil"/>
            </w:tcBorders>
            <w:tcMar>
              <w:top w:w="0" w:type="dxa"/>
              <w:left w:w="53" w:type="dxa"/>
              <w:bottom w:w="0" w:type="dxa"/>
              <w:right w:w="53" w:type="dxa"/>
            </w:tcMar>
            <w:vAlign w:val="bottom"/>
          </w:tcPr>
          <w:p w:rsidR="006B353C" w:rsidRDefault="002D356F">
            <w:pPr>
              <w:keepNext/>
              <w:spacing w:before="55" w:after="30" w:line="200" w:lineRule="auto"/>
              <w:jc w:val="center"/>
            </w:pPr>
            <w:r>
              <w:rPr>
                <w:b/>
                <w:color w:val="000000"/>
                <w:sz w:val="20"/>
              </w:rPr>
              <w:t>3/31/2020</w:t>
            </w:r>
          </w:p>
        </w:tc>
        <w:tc>
          <w:tcPr>
            <w:tcW w:w="105" w:type="dxa"/>
            <w:tcBorders>
              <w:top w:val="single" w:sz="8" w:space="0" w:color="000000"/>
              <w:left w:val="nil"/>
              <w:bottom w:val="nil"/>
              <w:right w:val="nil"/>
            </w:tcBorders>
            <w:tcMar>
              <w:top w:w="0" w:type="dxa"/>
              <w:left w:w="0" w:type="dxa"/>
              <w:bottom w:w="0" w:type="dxa"/>
              <w:right w:w="0" w:type="dxa"/>
            </w:tcMar>
            <w:vAlign w:val="bottom"/>
          </w:tcPr>
          <w:p w:rsidR="006B353C" w:rsidRDefault="006B353C">
            <w:pPr>
              <w:keepNext/>
            </w:pPr>
          </w:p>
        </w:tc>
        <w:tc>
          <w:tcPr>
            <w:tcW w:w="1260" w:type="dxa"/>
            <w:gridSpan w:val="3"/>
            <w:tcBorders>
              <w:top w:val="single" w:sz="8" w:space="0" w:color="000000"/>
              <w:left w:val="nil"/>
              <w:bottom w:val="nil"/>
              <w:right w:val="nil"/>
            </w:tcBorders>
            <w:tcMar>
              <w:top w:w="0" w:type="dxa"/>
              <w:left w:w="53" w:type="dxa"/>
              <w:bottom w:w="0" w:type="dxa"/>
              <w:right w:w="53" w:type="dxa"/>
            </w:tcMar>
            <w:vAlign w:val="bottom"/>
          </w:tcPr>
          <w:p w:rsidR="006B353C" w:rsidRDefault="002D356F">
            <w:pPr>
              <w:keepNext/>
              <w:spacing w:before="55" w:after="30" w:line="200" w:lineRule="auto"/>
              <w:jc w:val="center"/>
            </w:pPr>
            <w:r>
              <w:rPr>
                <w:b/>
                <w:color w:val="000000"/>
                <w:sz w:val="20"/>
              </w:rPr>
              <w:t>3/31/2019</w:t>
            </w:r>
          </w:p>
        </w:tc>
      </w:tr>
      <w:tr w:rsidR="006B353C">
        <w:trPr>
          <w:cantSplit/>
          <w:trHeight w:hRule="exact" w:val="300"/>
          <w:jc w:val="center"/>
        </w:trPr>
        <w:tc>
          <w:tcPr>
            <w:tcW w:w="7620" w:type="dxa"/>
            <w:tcBorders>
              <w:top w:val="nil"/>
              <w:left w:val="nil"/>
              <w:bottom w:val="nil"/>
              <w:right w:val="nil"/>
            </w:tcBorders>
            <w:tcMar>
              <w:top w:w="0" w:type="dxa"/>
              <w:left w:w="53" w:type="dxa"/>
              <w:bottom w:w="0" w:type="dxa"/>
              <w:right w:w="53" w:type="dxa"/>
            </w:tcMar>
            <w:vAlign w:val="bottom"/>
          </w:tcPr>
          <w:p w:rsidR="006B353C" w:rsidRDefault="002D356F">
            <w:pPr>
              <w:keepNext/>
              <w:spacing w:before="75" w:after="30" w:line="200" w:lineRule="auto"/>
            </w:pPr>
            <w:r>
              <w:rPr>
                <w:b/>
                <w:color w:val="000000"/>
                <w:sz w:val="20"/>
              </w:rPr>
              <w:t>Revenues:</w:t>
            </w:r>
          </w:p>
        </w:tc>
        <w:tc>
          <w:tcPr>
            <w:tcW w:w="1275" w:type="dxa"/>
            <w:gridSpan w:val="3"/>
            <w:tcBorders>
              <w:top w:val="single" w:sz="8" w:space="0" w:color="000000"/>
              <w:left w:val="nil"/>
              <w:bottom w:val="nil"/>
              <w:right w:val="nil"/>
            </w:tcBorders>
            <w:tcMar>
              <w:top w:w="0" w:type="dxa"/>
              <w:left w:w="0" w:type="dxa"/>
              <w:bottom w:w="0" w:type="dxa"/>
              <w:right w:w="0" w:type="dxa"/>
            </w:tcMar>
            <w:vAlign w:val="bottom"/>
          </w:tcPr>
          <w:p w:rsidR="006B353C" w:rsidRDefault="006B353C">
            <w:pPr>
              <w:keepNext/>
            </w:pPr>
          </w:p>
        </w:tc>
        <w:tc>
          <w:tcPr>
            <w:tcW w:w="105" w:type="dxa"/>
            <w:tcBorders>
              <w:top w:val="nil"/>
              <w:left w:val="nil"/>
              <w:bottom w:val="nil"/>
              <w:right w:val="nil"/>
            </w:tcBorders>
            <w:tcMar>
              <w:top w:w="0" w:type="dxa"/>
              <w:left w:w="0" w:type="dxa"/>
              <w:bottom w:w="0" w:type="dxa"/>
              <w:right w:w="0" w:type="dxa"/>
            </w:tcMar>
            <w:vAlign w:val="bottom"/>
          </w:tcPr>
          <w:p w:rsidR="006B353C" w:rsidRDefault="006B353C">
            <w:pPr>
              <w:keepNext/>
            </w:pPr>
          </w:p>
        </w:tc>
        <w:tc>
          <w:tcPr>
            <w:tcW w:w="1260" w:type="dxa"/>
            <w:gridSpan w:val="3"/>
            <w:tcBorders>
              <w:top w:val="single" w:sz="8" w:space="0" w:color="000000"/>
              <w:left w:val="nil"/>
              <w:bottom w:val="nil"/>
              <w:right w:val="nil"/>
            </w:tcBorders>
            <w:tcMar>
              <w:top w:w="0" w:type="dxa"/>
              <w:left w:w="0" w:type="dxa"/>
              <w:bottom w:w="0" w:type="dxa"/>
              <w:right w:w="0" w:type="dxa"/>
            </w:tcMar>
            <w:vAlign w:val="bottom"/>
          </w:tcPr>
          <w:p w:rsidR="006B353C" w:rsidRDefault="006B353C">
            <w:pPr>
              <w:keepNext/>
            </w:pPr>
          </w:p>
        </w:tc>
      </w:tr>
      <w:tr w:rsidR="006B353C">
        <w:trPr>
          <w:cantSplit/>
          <w:trHeight w:hRule="exact" w:val="300"/>
          <w:jc w:val="center"/>
        </w:trPr>
        <w:tc>
          <w:tcPr>
            <w:tcW w:w="7620" w:type="dxa"/>
            <w:tcBorders>
              <w:top w:val="nil"/>
              <w:left w:val="nil"/>
              <w:bottom w:val="nil"/>
              <w:right w:val="nil"/>
            </w:tcBorders>
            <w:shd w:val="clear" w:color="auto" w:fill="CCEEFF"/>
            <w:tcMar>
              <w:top w:w="0" w:type="dxa"/>
              <w:left w:w="53" w:type="dxa"/>
              <w:bottom w:w="0" w:type="dxa"/>
              <w:right w:w="53" w:type="dxa"/>
            </w:tcMar>
            <w:vAlign w:val="bottom"/>
          </w:tcPr>
          <w:p w:rsidR="006B353C" w:rsidRDefault="002D356F">
            <w:pPr>
              <w:keepNext/>
              <w:spacing w:before="75" w:after="30" w:line="200" w:lineRule="auto"/>
            </w:pPr>
            <w:r>
              <w:rPr>
                <w:color w:val="000000"/>
                <w:sz w:val="20"/>
              </w:rPr>
              <w:t>Rental and tenant reimbursement revenue</w:t>
            </w:r>
          </w:p>
        </w:tc>
        <w:tc>
          <w:tcPr>
            <w:tcW w:w="100" w:type="dxa"/>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pPr>
            <w:r>
              <w:rPr>
                <w:color w:val="000000"/>
                <w:sz w:val="20"/>
              </w:rPr>
              <w:t>$</w:t>
            </w:r>
          </w:p>
        </w:tc>
        <w:tc>
          <w:tcPr>
            <w:tcW w:w="10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2D356F">
            <w:pPr>
              <w:keepNext/>
              <w:spacing w:before="75" w:after="30" w:line="200" w:lineRule="auto"/>
              <w:jc w:val="right"/>
            </w:pPr>
            <w:r>
              <w:rPr>
                <w:color w:val="000000"/>
                <w:sz w:val="20"/>
              </w:rPr>
              <w:t>132,154 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00" w:type="dxa"/>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pPr>
            <w:r>
              <w:rPr>
                <w:color w:val="000000"/>
                <w:sz w:val="20"/>
              </w:rPr>
              <w:t>$</w:t>
            </w:r>
          </w:p>
        </w:tc>
        <w:tc>
          <w:tcPr>
            <w:tcW w:w="1060" w:type="dxa"/>
            <w:tcBorders>
              <w:top w:val="nil"/>
              <w:left w:val="nil"/>
              <w:bottom w:val="nil"/>
              <w:right w:val="nil"/>
            </w:tcBorders>
            <w:shd w:val="clear" w:color="auto" w:fill="CCEEFF"/>
            <w:tcMar>
              <w:top w:w="0" w:type="dxa"/>
              <w:left w:w="0" w:type="dxa"/>
              <w:bottom w:w="0" w:type="dxa"/>
              <w:right w:w="0" w:type="dxa"/>
            </w:tcMar>
            <w:vAlign w:val="bottom"/>
          </w:tcPr>
          <w:p w:rsidR="006B353C" w:rsidRDefault="002D356F">
            <w:pPr>
              <w:keepNext/>
              <w:spacing w:before="75" w:after="30" w:line="200" w:lineRule="auto"/>
              <w:jc w:val="right"/>
            </w:pPr>
            <w:r>
              <w:rPr>
                <w:color w:val="000000"/>
                <w:sz w:val="20"/>
              </w:rPr>
              <w:t>126,166 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300"/>
          <w:jc w:val="center"/>
        </w:trPr>
        <w:tc>
          <w:tcPr>
            <w:tcW w:w="7620" w:type="dxa"/>
            <w:tcBorders>
              <w:top w:val="nil"/>
              <w:left w:val="nil"/>
              <w:bottom w:val="nil"/>
              <w:right w:val="nil"/>
            </w:tcBorders>
            <w:shd w:val="clear" w:color="auto" w:fill="FFFFFF"/>
            <w:tcMar>
              <w:top w:w="0" w:type="dxa"/>
              <w:left w:w="53" w:type="dxa"/>
              <w:bottom w:w="0" w:type="dxa"/>
              <w:right w:w="53" w:type="dxa"/>
            </w:tcMar>
            <w:vAlign w:val="bottom"/>
          </w:tcPr>
          <w:p w:rsidR="006B353C" w:rsidRDefault="002D356F">
            <w:pPr>
              <w:keepNext/>
              <w:spacing w:before="75" w:after="30" w:line="200" w:lineRule="auto"/>
            </w:pPr>
            <w:r>
              <w:rPr>
                <w:color w:val="000000"/>
                <w:sz w:val="20"/>
              </w:rPr>
              <w:t>Property management fee revenue</w:t>
            </w:r>
          </w:p>
        </w:tc>
        <w:tc>
          <w:tcPr>
            <w:tcW w:w="1175"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773 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160"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1,992 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300"/>
          <w:jc w:val="center"/>
        </w:trPr>
        <w:tc>
          <w:tcPr>
            <w:tcW w:w="7620" w:type="dxa"/>
            <w:tcBorders>
              <w:top w:val="nil"/>
              <w:left w:val="nil"/>
              <w:bottom w:val="nil"/>
              <w:right w:val="nil"/>
            </w:tcBorders>
            <w:shd w:val="clear" w:color="auto" w:fill="CCEEFF"/>
            <w:tcMar>
              <w:top w:w="0" w:type="dxa"/>
              <w:left w:w="53" w:type="dxa"/>
              <w:bottom w:w="0" w:type="dxa"/>
              <w:right w:w="53" w:type="dxa"/>
            </w:tcMar>
            <w:vAlign w:val="bottom"/>
          </w:tcPr>
          <w:p w:rsidR="006B353C" w:rsidRDefault="002D356F">
            <w:pPr>
              <w:keepNext/>
              <w:spacing w:before="75" w:after="30" w:line="200" w:lineRule="auto"/>
            </w:pPr>
            <w:r>
              <w:rPr>
                <w:color w:val="000000"/>
                <w:sz w:val="20"/>
              </w:rPr>
              <w:t>Other property related income</w:t>
            </w:r>
          </w:p>
        </w:tc>
        <w:tc>
          <w:tcPr>
            <w:tcW w:w="1175"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4,244 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160"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4,778 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300"/>
          <w:jc w:val="center"/>
        </w:trPr>
        <w:tc>
          <w:tcPr>
            <w:tcW w:w="7620" w:type="dxa"/>
            <w:tcBorders>
              <w:top w:val="nil"/>
              <w:left w:val="nil"/>
              <w:bottom w:val="nil"/>
              <w:right w:val="nil"/>
            </w:tcBorders>
            <w:shd w:val="clear" w:color="auto" w:fill="FFFFFF"/>
            <w:tcMar>
              <w:top w:w="0" w:type="dxa"/>
              <w:left w:w="53" w:type="dxa"/>
              <w:bottom w:w="0" w:type="dxa"/>
              <w:right w:w="53" w:type="dxa"/>
            </w:tcMar>
            <w:vAlign w:val="bottom"/>
          </w:tcPr>
          <w:p w:rsidR="006B353C" w:rsidRDefault="002D356F">
            <w:pPr>
              <w:widowControl w:val="0"/>
              <w:spacing w:before="75" w:after="30" w:line="200" w:lineRule="auto"/>
              <w:ind w:firstLine="360"/>
              <w:rPr>
                <w:sz w:val="20"/>
              </w:rPr>
            </w:pPr>
            <w:r>
              <w:rPr>
                <w:sz w:val="20"/>
              </w:rPr>
              <w:t>Total revenues</w:t>
            </w:r>
          </w:p>
        </w:tc>
        <w:tc>
          <w:tcPr>
            <w:tcW w:w="117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55" w:after="30" w:line="200" w:lineRule="auto"/>
              <w:jc w:val="right"/>
            </w:pPr>
            <w:r>
              <w:rPr>
                <w:color w:val="000000"/>
                <w:sz w:val="20"/>
              </w:rPr>
              <w:t>137,171 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5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160"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55" w:after="30" w:line="200" w:lineRule="auto"/>
              <w:jc w:val="right"/>
            </w:pPr>
            <w:r>
              <w:rPr>
                <w:color w:val="000000"/>
                <w:sz w:val="20"/>
              </w:rPr>
              <w:t>132,936 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55" w:after="30" w:line="200" w:lineRule="auto"/>
            </w:pPr>
          </w:p>
        </w:tc>
      </w:tr>
      <w:tr w:rsidR="006B353C">
        <w:trPr>
          <w:cantSplit/>
          <w:trHeight w:hRule="exact" w:val="300"/>
          <w:jc w:val="center"/>
        </w:trPr>
        <w:tc>
          <w:tcPr>
            <w:tcW w:w="7620" w:type="dxa"/>
            <w:tcBorders>
              <w:top w:val="nil"/>
              <w:left w:val="nil"/>
              <w:bottom w:val="nil"/>
              <w:right w:val="nil"/>
            </w:tcBorders>
            <w:shd w:val="clear" w:color="auto" w:fill="CCEEFF"/>
            <w:tcMar>
              <w:top w:w="0" w:type="dxa"/>
              <w:left w:w="53" w:type="dxa"/>
              <w:bottom w:w="0" w:type="dxa"/>
              <w:right w:w="53" w:type="dxa"/>
            </w:tcMar>
            <w:vAlign w:val="bottom"/>
          </w:tcPr>
          <w:p w:rsidR="006B353C" w:rsidRDefault="002D356F">
            <w:pPr>
              <w:keepNext/>
              <w:spacing w:before="75" w:after="30" w:line="200" w:lineRule="auto"/>
            </w:pPr>
            <w:r>
              <w:rPr>
                <w:b/>
                <w:color w:val="000000"/>
                <w:sz w:val="20"/>
              </w:rPr>
              <w:t>Expenses:</w:t>
            </w:r>
          </w:p>
        </w:tc>
        <w:tc>
          <w:tcPr>
            <w:tcW w:w="1275" w:type="dxa"/>
            <w:gridSpan w:val="3"/>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260" w:type="dxa"/>
            <w:gridSpan w:val="3"/>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r>
      <w:tr w:rsidR="006B353C">
        <w:trPr>
          <w:cantSplit/>
          <w:trHeight w:hRule="exact" w:val="300"/>
          <w:jc w:val="center"/>
        </w:trPr>
        <w:tc>
          <w:tcPr>
            <w:tcW w:w="7620" w:type="dxa"/>
            <w:tcBorders>
              <w:top w:val="nil"/>
              <w:left w:val="nil"/>
              <w:bottom w:val="nil"/>
              <w:right w:val="nil"/>
            </w:tcBorders>
            <w:shd w:val="clear" w:color="auto" w:fill="FFFFFF"/>
            <w:tcMar>
              <w:top w:w="0" w:type="dxa"/>
              <w:left w:w="53" w:type="dxa"/>
              <w:bottom w:w="0" w:type="dxa"/>
              <w:right w:w="53" w:type="dxa"/>
            </w:tcMar>
            <w:vAlign w:val="bottom"/>
          </w:tcPr>
          <w:p w:rsidR="006B353C" w:rsidRDefault="002D356F">
            <w:pPr>
              <w:keepNext/>
              <w:spacing w:before="75" w:after="30" w:line="200" w:lineRule="auto"/>
            </w:pPr>
            <w:r>
              <w:rPr>
                <w:color w:val="000000"/>
                <w:sz w:val="20"/>
              </w:rPr>
              <w:t>Property operating costs</w:t>
            </w:r>
          </w:p>
        </w:tc>
        <w:tc>
          <w:tcPr>
            <w:tcW w:w="1175"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53,190 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160"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51,805 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300"/>
          <w:jc w:val="center"/>
        </w:trPr>
        <w:tc>
          <w:tcPr>
            <w:tcW w:w="7620" w:type="dxa"/>
            <w:tcBorders>
              <w:top w:val="nil"/>
              <w:left w:val="nil"/>
              <w:bottom w:val="nil"/>
              <w:right w:val="nil"/>
            </w:tcBorders>
            <w:shd w:val="clear" w:color="auto" w:fill="CCEEFF"/>
            <w:tcMar>
              <w:top w:w="0" w:type="dxa"/>
              <w:left w:w="53" w:type="dxa"/>
              <w:bottom w:w="0" w:type="dxa"/>
              <w:right w:w="53" w:type="dxa"/>
            </w:tcMar>
            <w:vAlign w:val="bottom"/>
          </w:tcPr>
          <w:p w:rsidR="006B353C" w:rsidRDefault="002D356F">
            <w:pPr>
              <w:keepNext/>
              <w:spacing w:before="75" w:after="30" w:line="200" w:lineRule="auto"/>
            </w:pPr>
            <w:r>
              <w:rPr>
                <w:color w:val="000000"/>
                <w:sz w:val="20"/>
              </w:rPr>
              <w:t>Depreciation</w:t>
            </w:r>
          </w:p>
        </w:tc>
        <w:tc>
          <w:tcPr>
            <w:tcW w:w="1175"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27,884 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160"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26,525 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300"/>
          <w:jc w:val="center"/>
        </w:trPr>
        <w:tc>
          <w:tcPr>
            <w:tcW w:w="7620" w:type="dxa"/>
            <w:tcBorders>
              <w:top w:val="nil"/>
              <w:left w:val="nil"/>
              <w:bottom w:val="nil"/>
              <w:right w:val="nil"/>
            </w:tcBorders>
            <w:shd w:val="clear" w:color="auto" w:fill="FFFFFF"/>
            <w:tcMar>
              <w:top w:w="0" w:type="dxa"/>
              <w:left w:w="53" w:type="dxa"/>
              <w:bottom w:w="0" w:type="dxa"/>
              <w:right w:w="53" w:type="dxa"/>
            </w:tcMar>
            <w:vAlign w:val="bottom"/>
          </w:tcPr>
          <w:p w:rsidR="006B353C" w:rsidRDefault="002D356F">
            <w:pPr>
              <w:keepNext/>
              <w:spacing w:before="75" w:after="30" w:line="200" w:lineRule="auto"/>
            </w:pPr>
            <w:r>
              <w:rPr>
                <w:color w:val="000000"/>
                <w:sz w:val="20"/>
              </w:rPr>
              <w:t>Amortization</w:t>
            </w:r>
          </w:p>
        </w:tc>
        <w:tc>
          <w:tcPr>
            <w:tcW w:w="1175"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23,631 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160"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17,700 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300"/>
          <w:jc w:val="center"/>
        </w:trPr>
        <w:tc>
          <w:tcPr>
            <w:tcW w:w="7620" w:type="dxa"/>
            <w:tcBorders>
              <w:top w:val="nil"/>
              <w:left w:val="nil"/>
              <w:bottom w:val="nil"/>
              <w:right w:val="nil"/>
            </w:tcBorders>
            <w:shd w:val="clear" w:color="auto" w:fill="CCEEFF"/>
            <w:tcMar>
              <w:top w:w="0" w:type="dxa"/>
              <w:left w:w="53" w:type="dxa"/>
              <w:bottom w:w="0" w:type="dxa"/>
              <w:right w:w="53" w:type="dxa"/>
            </w:tcMar>
            <w:vAlign w:val="bottom"/>
          </w:tcPr>
          <w:p w:rsidR="006B353C" w:rsidRDefault="002D356F">
            <w:pPr>
              <w:keepNext/>
              <w:spacing w:before="75" w:after="30" w:line="200" w:lineRule="auto"/>
            </w:pPr>
            <w:r>
              <w:rPr>
                <w:color w:val="000000"/>
                <w:sz w:val="20"/>
              </w:rPr>
              <w:t>General and administrative</w:t>
            </w:r>
          </w:p>
        </w:tc>
        <w:tc>
          <w:tcPr>
            <w:tcW w:w="1175"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8,643 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160"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9,368 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300"/>
          <w:jc w:val="center"/>
        </w:trPr>
        <w:tc>
          <w:tcPr>
            <w:tcW w:w="7620" w:type="dxa"/>
            <w:tcBorders>
              <w:top w:val="nil"/>
              <w:left w:val="nil"/>
              <w:bottom w:val="nil"/>
              <w:right w:val="nil"/>
            </w:tcBorders>
            <w:shd w:val="clear" w:color="auto" w:fill="FFFFFF"/>
            <w:tcMar>
              <w:top w:w="0" w:type="dxa"/>
              <w:left w:w="53" w:type="dxa"/>
              <w:bottom w:w="0" w:type="dxa"/>
              <w:right w:w="53" w:type="dxa"/>
            </w:tcMar>
            <w:vAlign w:val="bottom"/>
          </w:tcPr>
          <w:p w:rsidR="006B353C" w:rsidRDefault="002D356F">
            <w:pPr>
              <w:widowControl w:val="0"/>
              <w:spacing w:before="75" w:after="30" w:line="200" w:lineRule="auto"/>
              <w:ind w:left="360"/>
              <w:rPr>
                <w:sz w:val="20"/>
              </w:rPr>
            </w:pPr>
            <w:r>
              <w:rPr>
                <w:sz w:val="20"/>
              </w:rPr>
              <w:t>Total operating expenses</w:t>
            </w:r>
          </w:p>
        </w:tc>
        <w:tc>
          <w:tcPr>
            <w:tcW w:w="117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55" w:after="30" w:line="200" w:lineRule="auto"/>
              <w:jc w:val="right"/>
            </w:pPr>
            <w:r>
              <w:rPr>
                <w:color w:val="000000"/>
                <w:sz w:val="20"/>
              </w:rPr>
              <w:t>113,348 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5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160"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55" w:after="30" w:line="200" w:lineRule="auto"/>
              <w:jc w:val="right"/>
            </w:pPr>
            <w:r>
              <w:rPr>
                <w:color w:val="000000"/>
                <w:sz w:val="20"/>
              </w:rPr>
              <w:t>105,398 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55" w:after="30" w:line="200" w:lineRule="auto"/>
            </w:pPr>
          </w:p>
        </w:tc>
      </w:tr>
      <w:tr w:rsidR="006B353C">
        <w:trPr>
          <w:cantSplit/>
          <w:trHeight w:hRule="exact" w:val="300"/>
          <w:jc w:val="center"/>
        </w:trPr>
        <w:tc>
          <w:tcPr>
            <w:tcW w:w="7620" w:type="dxa"/>
            <w:tcBorders>
              <w:top w:val="nil"/>
              <w:left w:val="nil"/>
              <w:bottom w:val="nil"/>
              <w:right w:val="nil"/>
            </w:tcBorders>
            <w:shd w:val="clear" w:color="auto" w:fill="CCEEFF"/>
            <w:tcMar>
              <w:top w:w="0" w:type="dxa"/>
              <w:left w:w="53" w:type="dxa"/>
              <w:bottom w:w="0" w:type="dxa"/>
              <w:right w:w="53" w:type="dxa"/>
            </w:tcMar>
            <w:vAlign w:val="bottom"/>
          </w:tcPr>
          <w:p w:rsidR="006B353C" w:rsidRDefault="002D356F">
            <w:pPr>
              <w:keepNext/>
              <w:spacing w:before="75" w:after="30" w:line="200" w:lineRule="auto"/>
            </w:pPr>
            <w:r>
              <w:rPr>
                <w:b/>
                <w:color w:val="000000"/>
                <w:sz w:val="20"/>
              </w:rPr>
              <w:t>Other income (expense):</w:t>
            </w:r>
          </w:p>
        </w:tc>
        <w:tc>
          <w:tcPr>
            <w:tcW w:w="1275" w:type="dxa"/>
            <w:gridSpan w:val="3"/>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260" w:type="dxa"/>
            <w:gridSpan w:val="3"/>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r>
      <w:tr w:rsidR="006B353C">
        <w:trPr>
          <w:cantSplit/>
          <w:trHeight w:hRule="exact" w:val="300"/>
          <w:jc w:val="center"/>
        </w:trPr>
        <w:tc>
          <w:tcPr>
            <w:tcW w:w="7620" w:type="dxa"/>
            <w:tcBorders>
              <w:top w:val="nil"/>
              <w:left w:val="nil"/>
              <w:bottom w:val="nil"/>
              <w:right w:val="nil"/>
            </w:tcBorders>
            <w:shd w:val="clear" w:color="auto" w:fill="FFFFFF"/>
            <w:tcMar>
              <w:top w:w="0" w:type="dxa"/>
              <w:left w:w="53" w:type="dxa"/>
              <w:bottom w:w="0" w:type="dxa"/>
              <w:right w:w="53" w:type="dxa"/>
            </w:tcMar>
            <w:vAlign w:val="bottom"/>
          </w:tcPr>
          <w:p w:rsidR="006B353C" w:rsidRDefault="002D356F">
            <w:pPr>
              <w:keepNext/>
              <w:spacing w:before="75" w:after="30" w:line="200" w:lineRule="auto"/>
            </w:pPr>
            <w:r>
              <w:rPr>
                <w:color w:val="000000"/>
                <w:sz w:val="20"/>
              </w:rPr>
              <w:t>Interest expense</w:t>
            </w:r>
          </w:p>
        </w:tc>
        <w:tc>
          <w:tcPr>
            <w:tcW w:w="1175"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(15,264)</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160"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(15,493)</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300"/>
          <w:jc w:val="center"/>
        </w:trPr>
        <w:tc>
          <w:tcPr>
            <w:tcW w:w="7620" w:type="dxa"/>
            <w:tcBorders>
              <w:top w:val="nil"/>
              <w:left w:val="nil"/>
              <w:bottom w:val="nil"/>
              <w:right w:val="nil"/>
            </w:tcBorders>
            <w:shd w:val="clear" w:color="auto" w:fill="CCEEFF"/>
            <w:tcMar>
              <w:top w:w="0" w:type="dxa"/>
              <w:left w:w="53" w:type="dxa"/>
              <w:bottom w:w="0" w:type="dxa"/>
              <w:right w:w="53" w:type="dxa"/>
            </w:tcMar>
            <w:vAlign w:val="bottom"/>
          </w:tcPr>
          <w:p w:rsidR="006B353C" w:rsidRDefault="002D356F">
            <w:pPr>
              <w:keepNext/>
              <w:spacing w:before="75" w:after="30" w:line="200" w:lineRule="auto"/>
            </w:pPr>
            <w:r>
              <w:rPr>
                <w:color w:val="000000"/>
                <w:sz w:val="20"/>
              </w:rPr>
              <w:t>Other income</w:t>
            </w:r>
          </w:p>
        </w:tc>
        <w:tc>
          <w:tcPr>
            <w:tcW w:w="1175"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149 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160"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277 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300"/>
          <w:jc w:val="center"/>
        </w:trPr>
        <w:tc>
          <w:tcPr>
            <w:tcW w:w="7620" w:type="dxa"/>
            <w:tcBorders>
              <w:top w:val="nil"/>
              <w:left w:val="nil"/>
              <w:bottom w:val="nil"/>
              <w:right w:val="nil"/>
            </w:tcBorders>
            <w:shd w:val="clear" w:color="auto" w:fill="FFFFFF"/>
            <w:tcMar>
              <w:top w:w="0" w:type="dxa"/>
              <w:left w:w="53" w:type="dxa"/>
              <w:bottom w:w="0" w:type="dxa"/>
              <w:right w:w="53" w:type="dxa"/>
            </w:tcMar>
            <w:vAlign w:val="bottom"/>
          </w:tcPr>
          <w:p w:rsidR="006B353C" w:rsidRDefault="002D356F">
            <w:pPr>
              <w:keepNext/>
              <w:spacing w:before="75" w:after="30" w:line="200" w:lineRule="auto"/>
            </w:pPr>
            <w:r>
              <w:rPr>
                <w:color w:val="000000"/>
                <w:sz w:val="20"/>
              </w:rPr>
              <w:t>Gain on sale of real estate assets</w:t>
            </w:r>
          </w:p>
        </w:tc>
        <w:tc>
          <w:tcPr>
            <w:tcW w:w="1175"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3 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160"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37,887 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300"/>
          <w:jc w:val="center"/>
        </w:trPr>
        <w:tc>
          <w:tcPr>
            <w:tcW w:w="7620" w:type="dxa"/>
            <w:tcBorders>
              <w:top w:val="nil"/>
              <w:left w:val="nil"/>
              <w:bottom w:val="nil"/>
              <w:right w:val="nil"/>
            </w:tcBorders>
            <w:shd w:val="clear" w:color="auto" w:fill="CCEEFF"/>
            <w:tcMar>
              <w:top w:w="0" w:type="dxa"/>
              <w:left w:w="53" w:type="dxa"/>
              <w:bottom w:w="0" w:type="dxa"/>
              <w:right w:w="53" w:type="dxa"/>
            </w:tcMar>
            <w:vAlign w:val="bottom"/>
          </w:tcPr>
          <w:p w:rsidR="006B353C" w:rsidRDefault="002D356F">
            <w:pPr>
              <w:widowControl w:val="0"/>
              <w:spacing w:before="75" w:after="30" w:line="200" w:lineRule="auto"/>
              <w:ind w:left="360"/>
              <w:outlineLvl w:val="0"/>
              <w:rPr>
                <w:sz w:val="20"/>
              </w:rPr>
            </w:pPr>
            <w:r>
              <w:rPr>
                <w:sz w:val="20"/>
              </w:rPr>
              <w:t xml:space="preserve">Total </w:t>
            </w:r>
            <w:r>
              <w:rPr>
                <w:sz w:val="20"/>
              </w:rPr>
              <w:t>other income (expense)</w:t>
            </w:r>
          </w:p>
        </w:tc>
        <w:tc>
          <w:tcPr>
            <w:tcW w:w="117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55" w:after="30" w:line="200" w:lineRule="auto"/>
              <w:jc w:val="right"/>
            </w:pPr>
            <w:r>
              <w:rPr>
                <w:color w:val="000000"/>
                <w:sz w:val="20"/>
              </w:rPr>
              <w:t>(15,112)</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5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160"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55" w:after="30" w:line="200" w:lineRule="auto"/>
              <w:jc w:val="right"/>
            </w:pPr>
            <w:r>
              <w:rPr>
                <w:color w:val="000000"/>
                <w:sz w:val="20"/>
              </w:rPr>
              <w:t>22,671 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55" w:after="30" w:line="200" w:lineRule="auto"/>
            </w:pPr>
          </w:p>
        </w:tc>
      </w:tr>
      <w:tr w:rsidR="006B353C">
        <w:trPr>
          <w:cantSplit/>
          <w:trHeight w:hRule="exact" w:val="300"/>
          <w:jc w:val="center"/>
        </w:trPr>
        <w:tc>
          <w:tcPr>
            <w:tcW w:w="7620" w:type="dxa"/>
            <w:tcBorders>
              <w:top w:val="nil"/>
              <w:left w:val="nil"/>
              <w:bottom w:val="nil"/>
              <w:right w:val="nil"/>
            </w:tcBorders>
            <w:shd w:val="clear" w:color="auto" w:fill="FFFFFF"/>
            <w:tcMar>
              <w:top w:w="0" w:type="dxa"/>
              <w:left w:w="53" w:type="dxa"/>
              <w:bottom w:w="0" w:type="dxa"/>
              <w:right w:w="53" w:type="dxa"/>
            </w:tcMar>
            <w:vAlign w:val="bottom"/>
          </w:tcPr>
          <w:p w:rsidR="006B353C" w:rsidRDefault="002D356F">
            <w:pPr>
              <w:keepNext/>
              <w:spacing w:before="75" w:after="30" w:line="200" w:lineRule="auto"/>
            </w:pPr>
            <w:r>
              <w:rPr>
                <w:b/>
                <w:color w:val="000000"/>
                <w:sz w:val="20"/>
              </w:rPr>
              <w:t>Net income</w:t>
            </w:r>
          </w:p>
        </w:tc>
        <w:tc>
          <w:tcPr>
            <w:tcW w:w="1175"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55" w:after="30" w:line="200" w:lineRule="auto"/>
              <w:jc w:val="right"/>
            </w:pPr>
            <w:r>
              <w:rPr>
                <w:b/>
                <w:color w:val="000000"/>
                <w:sz w:val="20"/>
              </w:rPr>
              <w:t>8,711 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5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160" w:type="dxa"/>
            <w:gridSpan w:val="2"/>
            <w:tcBorders>
              <w:top w:val="single" w:sz="8" w:space="0" w:color="000000"/>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55" w:after="30" w:line="200" w:lineRule="auto"/>
              <w:jc w:val="right"/>
            </w:pPr>
            <w:r>
              <w:rPr>
                <w:b/>
                <w:color w:val="000000"/>
                <w:sz w:val="20"/>
              </w:rPr>
              <w:t>50,209 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55" w:after="30" w:line="200" w:lineRule="auto"/>
            </w:pPr>
          </w:p>
        </w:tc>
      </w:tr>
      <w:tr w:rsidR="006B353C">
        <w:trPr>
          <w:cantSplit/>
          <w:trHeight w:hRule="exact" w:val="300"/>
          <w:jc w:val="center"/>
        </w:trPr>
        <w:tc>
          <w:tcPr>
            <w:tcW w:w="7620" w:type="dxa"/>
            <w:tcBorders>
              <w:top w:val="nil"/>
              <w:left w:val="nil"/>
              <w:bottom w:val="nil"/>
              <w:right w:val="nil"/>
            </w:tcBorders>
            <w:shd w:val="clear" w:color="auto" w:fill="CCEEFF"/>
            <w:tcMar>
              <w:top w:w="0" w:type="dxa"/>
              <w:left w:w="53" w:type="dxa"/>
              <w:bottom w:w="0" w:type="dxa"/>
              <w:right w:w="53" w:type="dxa"/>
            </w:tcMar>
            <w:vAlign w:val="bottom"/>
          </w:tcPr>
          <w:p w:rsidR="006B353C" w:rsidRDefault="002D356F">
            <w:pPr>
              <w:keepNext/>
              <w:spacing w:before="75" w:after="30" w:line="200" w:lineRule="auto"/>
            </w:pPr>
            <w:r>
              <w:rPr>
                <w:color w:val="000000"/>
                <w:sz w:val="20"/>
              </w:rPr>
              <w:t>Less: Net income applicable to noncontrolling interest</w:t>
            </w:r>
          </w:p>
        </w:tc>
        <w:tc>
          <w:tcPr>
            <w:tcW w:w="1175"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(2)</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160"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(1)</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300"/>
          <w:jc w:val="center"/>
        </w:trPr>
        <w:tc>
          <w:tcPr>
            <w:tcW w:w="7620" w:type="dxa"/>
            <w:tcBorders>
              <w:top w:val="nil"/>
              <w:left w:val="nil"/>
              <w:bottom w:val="nil"/>
              <w:right w:val="nil"/>
            </w:tcBorders>
            <w:shd w:val="clear" w:color="auto" w:fill="FFFFFF"/>
            <w:tcMar>
              <w:top w:w="0" w:type="dxa"/>
              <w:left w:w="53" w:type="dxa"/>
              <w:bottom w:w="0" w:type="dxa"/>
              <w:right w:w="53" w:type="dxa"/>
            </w:tcMar>
            <w:vAlign w:val="bottom"/>
          </w:tcPr>
          <w:p w:rsidR="006B353C" w:rsidRDefault="002D356F">
            <w:pPr>
              <w:keepNext/>
              <w:spacing w:before="75" w:after="30" w:line="200" w:lineRule="auto"/>
            </w:pPr>
            <w:r>
              <w:rPr>
                <w:b/>
                <w:color w:val="000000"/>
                <w:sz w:val="20"/>
              </w:rPr>
              <w:t>Net income applicable to Piedmont</w:t>
            </w:r>
          </w:p>
        </w:tc>
        <w:tc>
          <w:tcPr>
            <w:tcW w:w="100" w:type="dxa"/>
            <w:tcBorders>
              <w:top w:val="single" w:sz="8" w:space="0" w:color="000000"/>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55" w:after="30" w:line="200" w:lineRule="auto"/>
            </w:pPr>
            <w:r>
              <w:rPr>
                <w:b/>
                <w:color w:val="000000"/>
                <w:sz w:val="20"/>
              </w:rPr>
              <w:t>$</w:t>
            </w:r>
          </w:p>
        </w:tc>
        <w:tc>
          <w:tcPr>
            <w:tcW w:w="1075" w:type="dxa"/>
            <w:tcBorders>
              <w:top w:val="single" w:sz="8" w:space="0" w:color="000000"/>
              <w:left w:val="nil"/>
              <w:bottom w:val="nil"/>
              <w:right w:val="nil"/>
            </w:tcBorders>
            <w:shd w:val="clear" w:color="auto" w:fill="FFFFFF"/>
            <w:tcMar>
              <w:top w:w="0" w:type="dxa"/>
              <w:left w:w="0" w:type="dxa"/>
              <w:bottom w:w="0" w:type="dxa"/>
              <w:right w:w="0" w:type="dxa"/>
            </w:tcMar>
            <w:vAlign w:val="bottom"/>
          </w:tcPr>
          <w:p w:rsidR="006B353C" w:rsidRDefault="002D356F">
            <w:pPr>
              <w:keepNext/>
              <w:spacing w:before="55" w:after="30" w:line="200" w:lineRule="auto"/>
              <w:jc w:val="right"/>
            </w:pPr>
            <w:r>
              <w:rPr>
                <w:b/>
                <w:color w:val="000000"/>
                <w:sz w:val="20"/>
              </w:rPr>
              <w:t>8,709 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5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00" w:type="dxa"/>
            <w:tcBorders>
              <w:top w:val="single" w:sz="8" w:space="0" w:color="000000"/>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55" w:after="30" w:line="200" w:lineRule="auto"/>
            </w:pPr>
            <w:r>
              <w:rPr>
                <w:b/>
                <w:color w:val="000000"/>
                <w:sz w:val="20"/>
              </w:rPr>
              <w:t>$</w:t>
            </w:r>
          </w:p>
        </w:tc>
        <w:tc>
          <w:tcPr>
            <w:tcW w:w="1060" w:type="dxa"/>
            <w:tcBorders>
              <w:top w:val="single" w:sz="8" w:space="0" w:color="000000"/>
              <w:left w:val="nil"/>
              <w:bottom w:val="nil"/>
              <w:right w:val="nil"/>
            </w:tcBorders>
            <w:shd w:val="clear" w:color="auto" w:fill="FFFFFF"/>
            <w:tcMar>
              <w:top w:w="0" w:type="dxa"/>
              <w:left w:w="0" w:type="dxa"/>
              <w:bottom w:w="0" w:type="dxa"/>
              <w:right w:w="0" w:type="dxa"/>
            </w:tcMar>
            <w:vAlign w:val="bottom"/>
          </w:tcPr>
          <w:p w:rsidR="006B353C" w:rsidRDefault="002D356F">
            <w:pPr>
              <w:keepNext/>
              <w:spacing w:before="55" w:after="30" w:line="200" w:lineRule="auto"/>
              <w:jc w:val="right"/>
            </w:pPr>
            <w:r>
              <w:rPr>
                <w:b/>
                <w:color w:val="000000"/>
                <w:sz w:val="20"/>
              </w:rPr>
              <w:t>50,208 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55" w:after="30" w:line="200" w:lineRule="auto"/>
            </w:pPr>
          </w:p>
        </w:tc>
      </w:tr>
      <w:tr w:rsidR="006B353C">
        <w:trPr>
          <w:cantSplit/>
          <w:trHeight w:hRule="exact" w:val="360"/>
          <w:jc w:val="center"/>
        </w:trPr>
        <w:tc>
          <w:tcPr>
            <w:tcW w:w="7620" w:type="dxa"/>
            <w:tcBorders>
              <w:top w:val="nil"/>
              <w:left w:val="nil"/>
              <w:bottom w:val="nil"/>
              <w:right w:val="nil"/>
            </w:tcBorders>
            <w:shd w:val="clear" w:color="auto" w:fill="CCEEFF"/>
            <w:tcMar>
              <w:top w:w="0" w:type="dxa"/>
              <w:left w:w="53" w:type="dxa"/>
              <w:bottom w:w="0" w:type="dxa"/>
              <w:right w:w="53" w:type="dxa"/>
            </w:tcMar>
            <w:vAlign w:val="bottom"/>
          </w:tcPr>
          <w:p w:rsidR="006B353C" w:rsidRDefault="002D356F">
            <w:pPr>
              <w:keepNext/>
              <w:spacing w:before="75" w:after="30" w:line="200" w:lineRule="auto"/>
            </w:pPr>
            <w:r>
              <w:rPr>
                <w:color w:val="000000"/>
                <w:sz w:val="20"/>
              </w:rPr>
              <w:t>Weighted average common shares outstanding - diluted</w:t>
            </w:r>
          </w:p>
        </w:tc>
        <w:tc>
          <w:tcPr>
            <w:tcW w:w="1175" w:type="dxa"/>
            <w:gridSpan w:val="2"/>
            <w:tcBorders>
              <w:top w:val="double" w:sz="8" w:space="0" w:color="000000"/>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55" w:after="30" w:line="200" w:lineRule="auto"/>
              <w:jc w:val="right"/>
            </w:pPr>
            <w:r>
              <w:rPr>
                <w:color w:val="000000"/>
                <w:sz w:val="20"/>
              </w:rPr>
              <w:t>126,360 </w:t>
            </w:r>
          </w:p>
        </w:tc>
        <w:tc>
          <w:tcPr>
            <w:tcW w:w="100" w:type="dxa"/>
            <w:tcBorders>
              <w:top w:val="double" w:sz="8" w:space="0" w:color="000000"/>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5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160" w:type="dxa"/>
            <w:gridSpan w:val="2"/>
            <w:tcBorders>
              <w:top w:val="double" w:sz="8" w:space="0" w:color="000000"/>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55" w:after="30" w:line="200" w:lineRule="auto"/>
              <w:jc w:val="right"/>
            </w:pPr>
            <w:r>
              <w:rPr>
                <w:color w:val="000000"/>
                <w:sz w:val="20"/>
              </w:rPr>
              <w:t>126,181 </w:t>
            </w:r>
          </w:p>
        </w:tc>
        <w:tc>
          <w:tcPr>
            <w:tcW w:w="100" w:type="dxa"/>
            <w:tcBorders>
              <w:top w:val="double" w:sz="8" w:space="0" w:color="000000"/>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55" w:after="30" w:line="200" w:lineRule="auto"/>
            </w:pPr>
          </w:p>
        </w:tc>
      </w:tr>
      <w:tr w:rsidR="006B353C">
        <w:trPr>
          <w:cantSplit/>
          <w:trHeight w:hRule="exact" w:val="345"/>
          <w:jc w:val="center"/>
        </w:trPr>
        <w:tc>
          <w:tcPr>
            <w:tcW w:w="7620" w:type="dxa"/>
            <w:tcBorders>
              <w:top w:val="nil"/>
              <w:left w:val="nil"/>
              <w:bottom w:val="nil"/>
              <w:right w:val="nil"/>
            </w:tcBorders>
            <w:shd w:val="clear" w:color="auto" w:fill="FFFFFF"/>
            <w:tcMar>
              <w:top w:w="0" w:type="dxa"/>
              <w:left w:w="53" w:type="dxa"/>
              <w:bottom w:w="0" w:type="dxa"/>
              <w:right w:w="53" w:type="dxa"/>
            </w:tcMar>
            <w:vAlign w:val="bottom"/>
          </w:tcPr>
          <w:p w:rsidR="006B353C" w:rsidRDefault="002D356F">
            <w:pPr>
              <w:spacing w:before="75" w:after="30" w:line="200" w:lineRule="auto"/>
            </w:pPr>
            <w:r>
              <w:rPr>
                <w:b/>
                <w:color w:val="000000"/>
                <w:sz w:val="20"/>
              </w:rPr>
              <w:t>Net income per share applicable to common stockholders - diluted</w:t>
            </w:r>
          </w:p>
        </w:tc>
        <w:tc>
          <w:tcPr>
            <w:tcW w:w="100" w:type="dxa"/>
            <w:tcBorders>
              <w:top w:val="nil"/>
              <w:left w:val="nil"/>
              <w:bottom w:val="double" w:sz="8" w:space="0" w:color="000000"/>
              <w:right w:val="nil"/>
            </w:tcBorders>
            <w:shd w:val="clear" w:color="auto" w:fill="FFFFFF"/>
            <w:tcMar>
              <w:top w:w="0" w:type="dxa"/>
              <w:left w:w="53" w:type="dxa"/>
              <w:bottom w:w="0" w:type="dxa"/>
              <w:right w:w="0" w:type="dxa"/>
            </w:tcMar>
            <w:vAlign w:val="bottom"/>
          </w:tcPr>
          <w:p w:rsidR="006B353C" w:rsidRDefault="002D356F">
            <w:pPr>
              <w:spacing w:before="75" w:after="30" w:line="200" w:lineRule="auto"/>
            </w:pPr>
            <w:r>
              <w:rPr>
                <w:b/>
                <w:color w:val="000000"/>
                <w:sz w:val="20"/>
              </w:rPr>
              <w:t>$</w:t>
            </w:r>
          </w:p>
        </w:tc>
        <w:tc>
          <w:tcPr>
            <w:tcW w:w="1075" w:type="dxa"/>
            <w:tcBorders>
              <w:top w:val="nil"/>
              <w:left w:val="nil"/>
              <w:bottom w:val="double" w:sz="8" w:space="0" w:color="000000"/>
              <w:right w:val="nil"/>
            </w:tcBorders>
            <w:shd w:val="clear" w:color="auto" w:fill="FFFFFF"/>
            <w:tcMar>
              <w:top w:w="0" w:type="dxa"/>
              <w:left w:w="0" w:type="dxa"/>
              <w:bottom w:w="0" w:type="dxa"/>
              <w:right w:w="0" w:type="dxa"/>
            </w:tcMar>
            <w:vAlign w:val="bottom"/>
          </w:tcPr>
          <w:p w:rsidR="006B353C" w:rsidRDefault="002D356F">
            <w:pPr>
              <w:spacing w:before="75" w:after="30" w:line="200" w:lineRule="auto"/>
              <w:jc w:val="right"/>
            </w:pPr>
            <w:r>
              <w:rPr>
                <w:b/>
                <w:color w:val="000000"/>
                <w:sz w:val="20"/>
              </w:rPr>
              <w:t>0.07 </w:t>
            </w:r>
          </w:p>
        </w:tc>
        <w:tc>
          <w:tcPr>
            <w:tcW w:w="100" w:type="dxa"/>
            <w:tcBorders>
              <w:top w:val="nil"/>
              <w:left w:val="nil"/>
              <w:bottom w:val="double" w:sz="8" w:space="0" w:color="000000"/>
              <w:right w:val="nil"/>
            </w:tcBorders>
            <w:shd w:val="clear" w:color="auto" w:fill="FFFFFF"/>
            <w:tcMar>
              <w:top w:w="0" w:type="dxa"/>
              <w:left w:w="0" w:type="dxa"/>
              <w:bottom w:w="0" w:type="dxa"/>
              <w:right w:w="15" w:type="dxa"/>
            </w:tcMar>
            <w:vAlign w:val="bottom"/>
          </w:tcPr>
          <w:p w:rsidR="006B353C" w:rsidRDefault="006B353C">
            <w:pPr>
              <w:spacing w:before="7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tc>
        <w:tc>
          <w:tcPr>
            <w:tcW w:w="100" w:type="dxa"/>
            <w:tcBorders>
              <w:top w:val="nil"/>
              <w:left w:val="nil"/>
              <w:bottom w:val="double" w:sz="8" w:space="0" w:color="000000"/>
              <w:right w:val="nil"/>
            </w:tcBorders>
            <w:shd w:val="clear" w:color="auto" w:fill="FFFFFF"/>
            <w:tcMar>
              <w:top w:w="0" w:type="dxa"/>
              <w:left w:w="53" w:type="dxa"/>
              <w:bottom w:w="0" w:type="dxa"/>
              <w:right w:w="0" w:type="dxa"/>
            </w:tcMar>
            <w:vAlign w:val="bottom"/>
          </w:tcPr>
          <w:p w:rsidR="006B353C" w:rsidRDefault="002D356F">
            <w:pPr>
              <w:spacing w:before="75" w:after="30" w:line="200" w:lineRule="auto"/>
            </w:pPr>
            <w:r>
              <w:rPr>
                <w:b/>
                <w:color w:val="000000"/>
                <w:sz w:val="20"/>
              </w:rPr>
              <w:t>$</w:t>
            </w:r>
          </w:p>
        </w:tc>
        <w:tc>
          <w:tcPr>
            <w:tcW w:w="1060" w:type="dxa"/>
            <w:tcBorders>
              <w:top w:val="nil"/>
              <w:left w:val="nil"/>
              <w:bottom w:val="double" w:sz="8" w:space="0" w:color="000000"/>
              <w:right w:val="nil"/>
            </w:tcBorders>
            <w:shd w:val="clear" w:color="auto" w:fill="FFFFFF"/>
            <w:tcMar>
              <w:top w:w="0" w:type="dxa"/>
              <w:left w:w="0" w:type="dxa"/>
              <w:bottom w:w="0" w:type="dxa"/>
              <w:right w:w="0" w:type="dxa"/>
            </w:tcMar>
            <w:vAlign w:val="bottom"/>
          </w:tcPr>
          <w:p w:rsidR="006B353C" w:rsidRDefault="002D356F">
            <w:pPr>
              <w:spacing w:before="75" w:after="30" w:line="200" w:lineRule="auto"/>
              <w:jc w:val="right"/>
            </w:pPr>
            <w:r>
              <w:rPr>
                <w:b/>
                <w:color w:val="000000"/>
                <w:sz w:val="20"/>
              </w:rPr>
              <w:t>0.40 </w:t>
            </w:r>
          </w:p>
        </w:tc>
        <w:tc>
          <w:tcPr>
            <w:tcW w:w="100" w:type="dxa"/>
            <w:tcBorders>
              <w:top w:val="nil"/>
              <w:left w:val="nil"/>
              <w:bottom w:val="double" w:sz="8" w:space="0" w:color="000000"/>
              <w:right w:val="nil"/>
            </w:tcBorders>
            <w:shd w:val="clear" w:color="auto" w:fill="FFFFFF"/>
            <w:tcMar>
              <w:top w:w="0" w:type="dxa"/>
              <w:left w:w="0" w:type="dxa"/>
              <w:bottom w:w="0" w:type="dxa"/>
              <w:right w:w="15" w:type="dxa"/>
            </w:tcMar>
            <w:vAlign w:val="bottom"/>
          </w:tcPr>
          <w:p w:rsidR="006B353C" w:rsidRDefault="006B353C">
            <w:pPr>
              <w:spacing w:before="75" w:after="30" w:line="200" w:lineRule="auto"/>
            </w:pPr>
          </w:p>
        </w:tc>
      </w:tr>
    </w:tbl>
    <w:p w:rsidR="006B353C" w:rsidRDefault="006B353C">
      <w:pPr>
        <w:spacing w:before="120"/>
        <w:jc w:val="center"/>
        <w:rPr>
          <w:sz w:val="20"/>
        </w:rPr>
      </w:pPr>
    </w:p>
    <w:p w:rsidR="006B353C" w:rsidRDefault="006B353C">
      <w:pPr>
        <w:jc w:val="center"/>
        <w:rPr>
          <w:sz w:val="20"/>
        </w:rPr>
      </w:pPr>
    </w:p>
    <w:p w:rsidR="006B353C" w:rsidRDefault="006B353C">
      <w:pPr>
        <w:jc w:val="center"/>
        <w:rPr>
          <w:sz w:val="20"/>
        </w:rPr>
      </w:pPr>
    </w:p>
    <w:p w:rsidR="006B353C" w:rsidRDefault="006B353C">
      <w:pPr>
        <w:jc w:val="center"/>
        <w:rPr>
          <w:sz w:val="20"/>
        </w:rPr>
      </w:pPr>
    </w:p>
    <w:p w:rsidR="002D356F" w:rsidRDefault="002D356F">
      <w:pPr>
        <w:rPr>
          <w:sz w:val="20"/>
        </w:rPr>
      </w:pPr>
      <w:r>
        <w:rPr>
          <w:sz w:val="20"/>
        </w:rPr>
        <w:br w:type="page"/>
      </w:r>
    </w:p>
    <w:p w:rsidR="006B353C" w:rsidRDefault="006B353C">
      <w:pPr>
        <w:jc w:val="center"/>
        <w:rPr>
          <w:sz w:val="20"/>
        </w:rPr>
      </w:pPr>
      <w:bookmarkStart w:id="2" w:name="_GoBack"/>
      <w:bookmarkEnd w:id="2"/>
    </w:p>
    <w:p w:rsidR="006B353C" w:rsidRDefault="006B353C">
      <w:pPr>
        <w:jc w:val="center"/>
        <w:rPr>
          <w:sz w:val="20"/>
        </w:rPr>
      </w:pPr>
    </w:p>
    <w:p w:rsidR="006B353C" w:rsidRDefault="006B353C">
      <w:pPr>
        <w:jc w:val="center"/>
        <w:rPr>
          <w:sz w:val="20"/>
        </w:rPr>
      </w:pPr>
    </w:p>
    <w:p w:rsidR="006B353C" w:rsidRDefault="006B353C">
      <w:pPr>
        <w:jc w:val="center"/>
        <w:rPr>
          <w:sz w:val="20"/>
        </w:rPr>
      </w:pPr>
    </w:p>
    <w:p w:rsidR="006B353C" w:rsidRDefault="006B353C">
      <w:pPr>
        <w:jc w:val="center"/>
        <w:sectPr w:rsidR="006B353C">
          <w:headerReference w:type="default" r:id="rId8"/>
          <w:footerReference w:type="default" r:id="rId9"/>
          <w:pgSz w:w="12240" w:h="15840"/>
          <w:pgMar w:top="855" w:right="990" w:bottom="855" w:left="990" w:header="270" w:footer="270" w:gutter="0"/>
          <w:cols w:space="720"/>
        </w:sectPr>
      </w:pPr>
    </w:p>
    <w:p w:rsidR="006B353C" w:rsidRDefault="006B353C">
      <w:pPr>
        <w:rPr>
          <w:sz w:val="20"/>
        </w:rPr>
      </w:pPr>
      <w:bookmarkStart w:id="3" w:name="Section3"/>
      <w:bookmarkEnd w:id="3"/>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9"/>
        <w:gridCol w:w="153"/>
        <w:gridCol w:w="952"/>
        <w:gridCol w:w="99"/>
        <w:gridCol w:w="103"/>
        <w:gridCol w:w="153"/>
        <w:gridCol w:w="952"/>
        <w:gridCol w:w="99"/>
      </w:tblGrid>
      <w:tr w:rsidR="006B353C">
        <w:trPr>
          <w:cantSplit/>
          <w:trHeight w:hRule="exact" w:val="300"/>
          <w:jc w:val="center"/>
        </w:trPr>
        <w:tc>
          <w:tcPr>
            <w:tcW w:w="7845" w:type="dxa"/>
            <w:tcBorders>
              <w:top w:val="nil"/>
              <w:left w:val="nil"/>
              <w:bottom w:val="nil"/>
              <w:right w:val="nil"/>
            </w:tcBorders>
            <w:tcMar>
              <w:top w:w="0" w:type="dxa"/>
              <w:left w:w="53" w:type="dxa"/>
              <w:bottom w:w="0" w:type="dxa"/>
              <w:right w:w="53" w:type="dxa"/>
            </w:tcMar>
            <w:vAlign w:val="bottom"/>
          </w:tcPr>
          <w:p w:rsidR="006B353C" w:rsidRDefault="002D356F">
            <w:pPr>
              <w:keepNext/>
              <w:spacing w:before="75" w:after="30" w:line="200" w:lineRule="auto"/>
            </w:pPr>
            <w:r>
              <w:rPr>
                <w:b/>
                <w:color w:val="000000"/>
                <w:sz w:val="20"/>
              </w:rPr>
              <w:t>Piedmont Office Realty Trust, Inc.</w:t>
            </w:r>
          </w:p>
        </w:tc>
        <w:tc>
          <w:tcPr>
            <w:tcW w:w="1155" w:type="dxa"/>
            <w:gridSpan w:val="3"/>
            <w:tcBorders>
              <w:top w:val="nil"/>
              <w:left w:val="nil"/>
              <w:bottom w:val="nil"/>
              <w:right w:val="nil"/>
            </w:tcBorders>
            <w:tcMar>
              <w:top w:w="0" w:type="dxa"/>
              <w:left w:w="0" w:type="dxa"/>
              <w:bottom w:w="0" w:type="dxa"/>
              <w:right w:w="0" w:type="dxa"/>
            </w:tcMar>
            <w:vAlign w:val="bottom"/>
          </w:tcPr>
          <w:p w:rsidR="006B353C" w:rsidRDefault="006B353C">
            <w:pPr>
              <w:keepNext/>
            </w:pPr>
          </w:p>
        </w:tc>
        <w:tc>
          <w:tcPr>
            <w:tcW w:w="105" w:type="dxa"/>
            <w:tcBorders>
              <w:top w:val="nil"/>
              <w:left w:val="nil"/>
              <w:bottom w:val="nil"/>
              <w:right w:val="nil"/>
            </w:tcBorders>
            <w:tcMar>
              <w:top w:w="0" w:type="dxa"/>
              <w:left w:w="0" w:type="dxa"/>
              <w:bottom w:w="0" w:type="dxa"/>
              <w:right w:w="0" w:type="dxa"/>
            </w:tcMar>
            <w:vAlign w:val="bottom"/>
          </w:tcPr>
          <w:p w:rsidR="006B353C" w:rsidRDefault="006B353C">
            <w:pPr>
              <w:keepNext/>
            </w:pPr>
          </w:p>
        </w:tc>
        <w:tc>
          <w:tcPr>
            <w:tcW w:w="1155" w:type="dxa"/>
            <w:gridSpan w:val="3"/>
            <w:tcBorders>
              <w:top w:val="nil"/>
              <w:left w:val="nil"/>
              <w:bottom w:val="nil"/>
              <w:right w:val="nil"/>
            </w:tcBorders>
            <w:tcMar>
              <w:top w:w="0" w:type="dxa"/>
              <w:left w:w="0" w:type="dxa"/>
              <w:bottom w:w="0" w:type="dxa"/>
              <w:right w:w="0" w:type="dxa"/>
            </w:tcMar>
            <w:vAlign w:val="bottom"/>
          </w:tcPr>
          <w:p w:rsidR="006B353C" w:rsidRDefault="006B353C">
            <w:pPr>
              <w:keepNext/>
            </w:pPr>
          </w:p>
        </w:tc>
      </w:tr>
      <w:tr w:rsidR="006B353C">
        <w:trPr>
          <w:cantSplit/>
          <w:trHeight w:hRule="exact" w:val="495"/>
          <w:jc w:val="center"/>
        </w:trPr>
        <w:tc>
          <w:tcPr>
            <w:tcW w:w="10260" w:type="dxa"/>
            <w:gridSpan w:val="8"/>
            <w:tcBorders>
              <w:top w:val="nil"/>
              <w:left w:val="nil"/>
              <w:bottom w:val="nil"/>
              <w:right w:val="nil"/>
            </w:tcBorders>
            <w:tcMar>
              <w:top w:w="0" w:type="dxa"/>
              <w:left w:w="53" w:type="dxa"/>
              <w:bottom w:w="0" w:type="dxa"/>
              <w:right w:w="53" w:type="dxa"/>
            </w:tcMar>
            <w:vAlign w:val="bottom"/>
          </w:tcPr>
          <w:p w:rsidR="006B353C" w:rsidRDefault="002D356F">
            <w:pPr>
              <w:keepNext/>
              <w:spacing w:before="75" w:after="30" w:line="200" w:lineRule="auto"/>
            </w:pPr>
            <w:r>
              <w:rPr>
                <w:b/>
                <w:color w:val="000000"/>
                <w:sz w:val="20"/>
              </w:rPr>
              <w:t>Funds From Operations, Core Funds From Operations and Adjusted Funds From Operations</w:t>
            </w:r>
          </w:p>
        </w:tc>
      </w:tr>
      <w:tr w:rsidR="006B353C">
        <w:trPr>
          <w:cantSplit/>
          <w:trHeight w:hRule="exact" w:val="300"/>
          <w:jc w:val="center"/>
        </w:trPr>
        <w:tc>
          <w:tcPr>
            <w:tcW w:w="7845" w:type="dxa"/>
            <w:tcBorders>
              <w:top w:val="nil"/>
              <w:left w:val="nil"/>
              <w:bottom w:val="nil"/>
              <w:right w:val="nil"/>
            </w:tcBorders>
            <w:tcMar>
              <w:top w:w="0" w:type="dxa"/>
              <w:left w:w="53" w:type="dxa"/>
              <w:bottom w:w="0" w:type="dxa"/>
              <w:right w:w="53" w:type="dxa"/>
            </w:tcMar>
            <w:vAlign w:val="bottom"/>
          </w:tcPr>
          <w:p w:rsidR="006B353C" w:rsidRDefault="002D356F">
            <w:pPr>
              <w:keepNext/>
              <w:spacing w:before="75" w:after="30" w:line="200" w:lineRule="auto"/>
            </w:pPr>
            <w:r>
              <w:rPr>
                <w:b/>
                <w:i/>
                <w:color w:val="000000"/>
                <w:sz w:val="20"/>
              </w:rPr>
              <w:t>Unaudited (in thousands, except for per share data)</w:t>
            </w:r>
          </w:p>
        </w:tc>
        <w:tc>
          <w:tcPr>
            <w:tcW w:w="1155" w:type="dxa"/>
            <w:gridSpan w:val="3"/>
            <w:tcBorders>
              <w:top w:val="nil"/>
              <w:left w:val="nil"/>
              <w:bottom w:val="nil"/>
              <w:right w:val="nil"/>
            </w:tcBorders>
            <w:tcMar>
              <w:top w:w="0" w:type="dxa"/>
              <w:left w:w="0" w:type="dxa"/>
              <w:bottom w:w="0" w:type="dxa"/>
              <w:right w:w="0" w:type="dxa"/>
            </w:tcMar>
            <w:vAlign w:val="bottom"/>
          </w:tcPr>
          <w:p w:rsidR="006B353C" w:rsidRDefault="006B353C">
            <w:pPr>
              <w:keepNext/>
            </w:pPr>
          </w:p>
        </w:tc>
        <w:tc>
          <w:tcPr>
            <w:tcW w:w="105" w:type="dxa"/>
            <w:tcBorders>
              <w:top w:val="nil"/>
              <w:left w:val="nil"/>
              <w:bottom w:val="nil"/>
              <w:right w:val="nil"/>
            </w:tcBorders>
            <w:tcMar>
              <w:top w:w="0" w:type="dxa"/>
              <w:left w:w="0" w:type="dxa"/>
              <w:bottom w:w="0" w:type="dxa"/>
              <w:right w:w="0" w:type="dxa"/>
            </w:tcMar>
            <w:vAlign w:val="bottom"/>
          </w:tcPr>
          <w:p w:rsidR="006B353C" w:rsidRDefault="006B353C">
            <w:pPr>
              <w:keepNext/>
            </w:pPr>
          </w:p>
        </w:tc>
        <w:tc>
          <w:tcPr>
            <w:tcW w:w="1155" w:type="dxa"/>
            <w:gridSpan w:val="3"/>
            <w:tcBorders>
              <w:top w:val="nil"/>
              <w:left w:val="nil"/>
              <w:bottom w:val="nil"/>
              <w:right w:val="nil"/>
            </w:tcBorders>
            <w:tcMar>
              <w:top w:w="0" w:type="dxa"/>
              <w:left w:w="0" w:type="dxa"/>
              <w:bottom w:w="0" w:type="dxa"/>
              <w:right w:w="0" w:type="dxa"/>
            </w:tcMar>
            <w:vAlign w:val="bottom"/>
          </w:tcPr>
          <w:p w:rsidR="006B353C" w:rsidRDefault="006B353C">
            <w:pPr>
              <w:keepNext/>
            </w:pPr>
          </w:p>
        </w:tc>
      </w:tr>
      <w:tr w:rsidR="006B353C">
        <w:trPr>
          <w:cantSplit/>
          <w:trHeight w:hRule="exact" w:val="75"/>
          <w:jc w:val="center"/>
        </w:trPr>
        <w:tc>
          <w:tcPr>
            <w:tcW w:w="7845" w:type="dxa"/>
            <w:tcBorders>
              <w:top w:val="single" w:sz="8" w:space="0" w:color="000000"/>
              <w:left w:val="nil"/>
              <w:bottom w:val="nil"/>
              <w:right w:val="nil"/>
            </w:tcBorders>
            <w:tcMar>
              <w:top w:w="0" w:type="dxa"/>
              <w:left w:w="0" w:type="dxa"/>
              <w:bottom w:w="0" w:type="dxa"/>
              <w:right w:w="0" w:type="dxa"/>
            </w:tcMar>
            <w:vAlign w:val="bottom"/>
          </w:tcPr>
          <w:p w:rsidR="006B353C" w:rsidRDefault="006B353C">
            <w:pPr>
              <w:keepNext/>
            </w:pPr>
          </w:p>
        </w:tc>
        <w:tc>
          <w:tcPr>
            <w:tcW w:w="1155" w:type="dxa"/>
            <w:gridSpan w:val="3"/>
            <w:tcBorders>
              <w:top w:val="single" w:sz="8" w:space="0" w:color="000000"/>
              <w:left w:val="nil"/>
              <w:bottom w:val="nil"/>
              <w:right w:val="nil"/>
            </w:tcBorders>
            <w:tcMar>
              <w:top w:w="0" w:type="dxa"/>
              <w:left w:w="0" w:type="dxa"/>
              <w:bottom w:w="0" w:type="dxa"/>
              <w:right w:w="0" w:type="dxa"/>
            </w:tcMar>
            <w:vAlign w:val="bottom"/>
          </w:tcPr>
          <w:p w:rsidR="006B353C" w:rsidRDefault="006B353C">
            <w:pPr>
              <w:keepNext/>
            </w:pPr>
          </w:p>
        </w:tc>
        <w:tc>
          <w:tcPr>
            <w:tcW w:w="105" w:type="dxa"/>
            <w:tcBorders>
              <w:top w:val="single" w:sz="8" w:space="0" w:color="000000"/>
              <w:left w:val="nil"/>
              <w:bottom w:val="nil"/>
              <w:right w:val="nil"/>
            </w:tcBorders>
            <w:tcMar>
              <w:top w:w="0" w:type="dxa"/>
              <w:left w:w="0" w:type="dxa"/>
              <w:bottom w:w="0" w:type="dxa"/>
              <w:right w:w="0" w:type="dxa"/>
            </w:tcMar>
            <w:vAlign w:val="bottom"/>
          </w:tcPr>
          <w:p w:rsidR="006B353C" w:rsidRDefault="006B353C">
            <w:pPr>
              <w:keepNext/>
            </w:pPr>
          </w:p>
        </w:tc>
        <w:tc>
          <w:tcPr>
            <w:tcW w:w="1155" w:type="dxa"/>
            <w:gridSpan w:val="3"/>
            <w:tcBorders>
              <w:top w:val="single" w:sz="8" w:space="0" w:color="000000"/>
              <w:left w:val="nil"/>
              <w:bottom w:val="nil"/>
              <w:right w:val="nil"/>
            </w:tcBorders>
            <w:tcMar>
              <w:top w:w="0" w:type="dxa"/>
              <w:left w:w="0" w:type="dxa"/>
              <w:bottom w:w="0" w:type="dxa"/>
              <w:right w:w="0" w:type="dxa"/>
            </w:tcMar>
            <w:vAlign w:val="bottom"/>
          </w:tcPr>
          <w:p w:rsidR="006B353C" w:rsidRDefault="006B353C">
            <w:pPr>
              <w:keepNext/>
            </w:pPr>
          </w:p>
        </w:tc>
      </w:tr>
      <w:tr w:rsidR="006B353C">
        <w:trPr>
          <w:cantSplit/>
          <w:trHeight w:hRule="exact" w:val="420"/>
          <w:jc w:val="center"/>
        </w:trPr>
        <w:tc>
          <w:tcPr>
            <w:tcW w:w="7845" w:type="dxa"/>
            <w:tcBorders>
              <w:top w:val="nil"/>
              <w:left w:val="nil"/>
              <w:bottom w:val="nil"/>
              <w:right w:val="nil"/>
            </w:tcBorders>
            <w:tcMar>
              <w:top w:w="0" w:type="dxa"/>
              <w:left w:w="0" w:type="dxa"/>
              <w:bottom w:w="0" w:type="dxa"/>
              <w:right w:w="0" w:type="dxa"/>
            </w:tcMar>
            <w:vAlign w:val="bottom"/>
          </w:tcPr>
          <w:p w:rsidR="006B353C" w:rsidRDefault="006B353C">
            <w:pPr>
              <w:keepNext/>
            </w:pPr>
          </w:p>
        </w:tc>
        <w:tc>
          <w:tcPr>
            <w:tcW w:w="2415" w:type="dxa"/>
            <w:gridSpan w:val="7"/>
            <w:tcBorders>
              <w:top w:val="nil"/>
              <w:left w:val="nil"/>
              <w:bottom w:val="nil"/>
              <w:right w:val="nil"/>
            </w:tcBorders>
            <w:tcMar>
              <w:top w:w="0" w:type="dxa"/>
              <w:left w:w="53" w:type="dxa"/>
              <w:bottom w:w="0" w:type="dxa"/>
              <w:right w:w="53" w:type="dxa"/>
            </w:tcMar>
            <w:vAlign w:val="bottom"/>
          </w:tcPr>
          <w:p w:rsidR="006B353C" w:rsidRDefault="002D356F">
            <w:pPr>
              <w:keepNext/>
              <w:spacing w:before="75" w:after="30" w:line="200" w:lineRule="auto"/>
              <w:jc w:val="center"/>
            </w:pPr>
            <w:r>
              <w:rPr>
                <w:b/>
                <w:color w:val="000000"/>
                <w:sz w:val="20"/>
              </w:rPr>
              <w:t>Three Months Ended</w:t>
            </w:r>
          </w:p>
        </w:tc>
      </w:tr>
      <w:tr w:rsidR="006B353C">
        <w:trPr>
          <w:cantSplit/>
          <w:trHeight w:hRule="exact" w:val="300"/>
          <w:jc w:val="center"/>
        </w:trPr>
        <w:tc>
          <w:tcPr>
            <w:tcW w:w="7845" w:type="dxa"/>
            <w:tcBorders>
              <w:top w:val="nil"/>
              <w:left w:val="nil"/>
              <w:bottom w:val="nil"/>
              <w:right w:val="nil"/>
            </w:tcBorders>
            <w:tcMar>
              <w:top w:w="0" w:type="dxa"/>
              <w:left w:w="0" w:type="dxa"/>
              <w:bottom w:w="0" w:type="dxa"/>
              <w:right w:w="0" w:type="dxa"/>
            </w:tcMar>
            <w:vAlign w:val="bottom"/>
          </w:tcPr>
          <w:p w:rsidR="006B353C" w:rsidRDefault="006B353C">
            <w:pPr>
              <w:keepNext/>
            </w:pPr>
          </w:p>
        </w:tc>
        <w:tc>
          <w:tcPr>
            <w:tcW w:w="1155" w:type="dxa"/>
            <w:gridSpan w:val="3"/>
            <w:tcBorders>
              <w:top w:val="single" w:sz="8" w:space="0" w:color="000000"/>
              <w:left w:val="nil"/>
              <w:bottom w:val="nil"/>
              <w:right w:val="nil"/>
            </w:tcBorders>
            <w:tcMar>
              <w:top w:w="0" w:type="dxa"/>
              <w:left w:w="53" w:type="dxa"/>
              <w:bottom w:w="0" w:type="dxa"/>
              <w:right w:w="53" w:type="dxa"/>
            </w:tcMar>
            <w:vAlign w:val="bottom"/>
          </w:tcPr>
          <w:p w:rsidR="006B353C" w:rsidRDefault="002D356F">
            <w:pPr>
              <w:keepNext/>
              <w:spacing w:before="55" w:after="30" w:line="200" w:lineRule="auto"/>
              <w:jc w:val="center"/>
            </w:pPr>
            <w:r>
              <w:rPr>
                <w:b/>
                <w:color w:val="000000"/>
                <w:sz w:val="20"/>
              </w:rPr>
              <w:t>3/31/2020</w:t>
            </w:r>
          </w:p>
        </w:tc>
        <w:tc>
          <w:tcPr>
            <w:tcW w:w="105" w:type="dxa"/>
            <w:tcBorders>
              <w:top w:val="single" w:sz="8" w:space="0" w:color="000000"/>
              <w:left w:val="nil"/>
              <w:bottom w:val="nil"/>
              <w:right w:val="nil"/>
            </w:tcBorders>
            <w:tcMar>
              <w:top w:w="0" w:type="dxa"/>
              <w:left w:w="0" w:type="dxa"/>
              <w:bottom w:w="0" w:type="dxa"/>
              <w:right w:w="0" w:type="dxa"/>
            </w:tcMar>
            <w:vAlign w:val="bottom"/>
          </w:tcPr>
          <w:p w:rsidR="006B353C" w:rsidRDefault="006B353C">
            <w:pPr>
              <w:keepNext/>
            </w:pPr>
          </w:p>
        </w:tc>
        <w:tc>
          <w:tcPr>
            <w:tcW w:w="1155" w:type="dxa"/>
            <w:gridSpan w:val="3"/>
            <w:tcBorders>
              <w:top w:val="single" w:sz="8" w:space="0" w:color="000000"/>
              <w:left w:val="nil"/>
              <w:bottom w:val="nil"/>
              <w:right w:val="nil"/>
            </w:tcBorders>
            <w:tcMar>
              <w:top w:w="0" w:type="dxa"/>
              <w:left w:w="53" w:type="dxa"/>
              <w:bottom w:w="0" w:type="dxa"/>
              <w:right w:w="53" w:type="dxa"/>
            </w:tcMar>
            <w:vAlign w:val="bottom"/>
          </w:tcPr>
          <w:p w:rsidR="006B353C" w:rsidRDefault="002D356F">
            <w:pPr>
              <w:keepNext/>
              <w:spacing w:before="55" w:after="30" w:line="200" w:lineRule="auto"/>
              <w:jc w:val="center"/>
            </w:pPr>
            <w:r>
              <w:rPr>
                <w:b/>
                <w:color w:val="000000"/>
                <w:sz w:val="20"/>
              </w:rPr>
              <w:t>3/31/2019</w:t>
            </w:r>
          </w:p>
        </w:tc>
      </w:tr>
      <w:tr w:rsidR="006B353C">
        <w:trPr>
          <w:cantSplit/>
          <w:trHeight w:hRule="exact" w:val="255"/>
          <w:jc w:val="center"/>
        </w:trPr>
        <w:tc>
          <w:tcPr>
            <w:tcW w:w="7845" w:type="dxa"/>
            <w:tcBorders>
              <w:top w:val="nil"/>
              <w:left w:val="nil"/>
              <w:bottom w:val="nil"/>
              <w:right w:val="nil"/>
            </w:tcBorders>
            <w:shd w:val="clear" w:color="auto" w:fill="CCEEFF"/>
            <w:tcMar>
              <w:top w:w="0" w:type="dxa"/>
              <w:left w:w="53" w:type="dxa"/>
              <w:bottom w:w="0" w:type="dxa"/>
              <w:right w:w="53" w:type="dxa"/>
            </w:tcMar>
            <w:vAlign w:val="bottom"/>
          </w:tcPr>
          <w:p w:rsidR="006B353C" w:rsidRDefault="002D356F">
            <w:pPr>
              <w:keepNext/>
              <w:spacing w:before="75" w:after="30" w:line="200" w:lineRule="auto"/>
            </w:pPr>
            <w:r>
              <w:rPr>
                <w:b/>
                <w:color w:val="000000"/>
                <w:sz w:val="20"/>
              </w:rPr>
              <w:t>GAAP net income applicable to common stock</w:t>
            </w:r>
          </w:p>
        </w:tc>
        <w:tc>
          <w:tcPr>
            <w:tcW w:w="10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55" w:after="30" w:line="200" w:lineRule="auto"/>
            </w:pPr>
            <w:r>
              <w:rPr>
                <w:b/>
                <w:color w:val="000000"/>
                <w:sz w:val="20"/>
              </w:rPr>
              <w:t>$</w:t>
            </w:r>
          </w:p>
        </w:tc>
        <w:tc>
          <w:tcPr>
            <w:tcW w:w="95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6B353C" w:rsidRDefault="002D356F">
            <w:pPr>
              <w:keepNext/>
              <w:spacing w:before="55" w:after="30" w:line="200" w:lineRule="auto"/>
              <w:jc w:val="right"/>
            </w:pPr>
            <w:r>
              <w:rPr>
                <w:b/>
                <w:color w:val="000000"/>
                <w:sz w:val="20"/>
              </w:rPr>
              <w:t>8,709 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5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00" w:type="dxa"/>
            <w:tcBorders>
              <w:top w:val="single" w:sz="8" w:space="0" w:color="000000"/>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55" w:after="30" w:line="200" w:lineRule="auto"/>
            </w:pPr>
            <w:r>
              <w:rPr>
                <w:b/>
                <w:color w:val="000000"/>
                <w:sz w:val="20"/>
              </w:rPr>
              <w:t>$</w:t>
            </w:r>
          </w:p>
        </w:tc>
        <w:tc>
          <w:tcPr>
            <w:tcW w:w="955" w:type="dxa"/>
            <w:tcBorders>
              <w:top w:val="single" w:sz="8" w:space="0" w:color="000000"/>
              <w:left w:val="nil"/>
              <w:bottom w:val="nil"/>
              <w:right w:val="nil"/>
            </w:tcBorders>
            <w:shd w:val="clear" w:color="auto" w:fill="CCEEFF"/>
            <w:tcMar>
              <w:top w:w="0" w:type="dxa"/>
              <w:left w:w="0" w:type="dxa"/>
              <w:bottom w:w="0" w:type="dxa"/>
              <w:right w:w="0" w:type="dxa"/>
            </w:tcMar>
            <w:vAlign w:val="bottom"/>
          </w:tcPr>
          <w:p w:rsidR="006B353C" w:rsidRDefault="002D356F">
            <w:pPr>
              <w:keepNext/>
              <w:spacing w:before="55" w:after="30" w:line="200" w:lineRule="auto"/>
              <w:jc w:val="right"/>
            </w:pPr>
            <w:r>
              <w:rPr>
                <w:b/>
                <w:color w:val="000000"/>
                <w:sz w:val="20"/>
              </w:rPr>
              <w:t>50,208 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55" w:after="30" w:line="200" w:lineRule="auto"/>
            </w:pPr>
          </w:p>
        </w:tc>
      </w:tr>
      <w:tr w:rsidR="006B353C">
        <w:trPr>
          <w:cantSplit/>
          <w:trHeight w:hRule="exact" w:val="300"/>
          <w:jc w:val="center"/>
        </w:trPr>
        <w:tc>
          <w:tcPr>
            <w:tcW w:w="7845" w:type="dxa"/>
            <w:tcBorders>
              <w:top w:val="nil"/>
              <w:left w:val="nil"/>
              <w:bottom w:val="nil"/>
              <w:right w:val="nil"/>
            </w:tcBorders>
            <w:shd w:val="clear" w:color="auto" w:fill="FFFFFF"/>
            <w:tcMar>
              <w:top w:w="0" w:type="dxa"/>
              <w:left w:w="53" w:type="dxa"/>
              <w:bottom w:w="0" w:type="dxa"/>
              <w:right w:w="53" w:type="dxa"/>
            </w:tcMar>
            <w:vAlign w:val="bottom"/>
          </w:tcPr>
          <w:p w:rsidR="006B353C" w:rsidRDefault="002D356F">
            <w:pPr>
              <w:widowControl w:val="0"/>
              <w:spacing w:before="75" w:after="30" w:line="200" w:lineRule="auto"/>
              <w:ind w:left="480" w:hanging="180"/>
              <w:rPr>
                <w:sz w:val="20"/>
              </w:rPr>
            </w:pPr>
            <w:r>
              <w:rPr>
                <w:sz w:val="20"/>
              </w:rPr>
              <w:t>Depreciation of real estate assets</w:t>
            </w:r>
            <w:r>
              <w:rPr>
                <w:sz w:val="20"/>
                <w:vertAlign w:val="superscript"/>
              </w:rPr>
              <w:t>(1)</w:t>
            </w: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27,551 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26,309 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300"/>
          <w:jc w:val="center"/>
        </w:trPr>
        <w:tc>
          <w:tcPr>
            <w:tcW w:w="7845" w:type="dxa"/>
            <w:tcBorders>
              <w:top w:val="nil"/>
              <w:left w:val="nil"/>
              <w:bottom w:val="nil"/>
              <w:right w:val="nil"/>
            </w:tcBorders>
            <w:shd w:val="clear" w:color="auto" w:fill="CCEEFF"/>
            <w:tcMar>
              <w:top w:w="0" w:type="dxa"/>
              <w:left w:w="53" w:type="dxa"/>
              <w:bottom w:w="0" w:type="dxa"/>
              <w:right w:w="53" w:type="dxa"/>
            </w:tcMar>
            <w:vAlign w:val="bottom"/>
          </w:tcPr>
          <w:p w:rsidR="006B353C" w:rsidRDefault="002D356F">
            <w:pPr>
              <w:widowControl w:val="0"/>
              <w:spacing w:before="75" w:after="30" w:line="200" w:lineRule="auto"/>
              <w:ind w:firstLine="270"/>
              <w:rPr>
                <w:sz w:val="20"/>
              </w:rPr>
            </w:pPr>
            <w:r>
              <w:rPr>
                <w:sz w:val="20"/>
              </w:rPr>
              <w:t>Amortization of lease-related costs</w:t>
            </w: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23,618 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17,685 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300"/>
          <w:jc w:val="center"/>
        </w:trPr>
        <w:tc>
          <w:tcPr>
            <w:tcW w:w="7845" w:type="dxa"/>
            <w:tcBorders>
              <w:top w:val="nil"/>
              <w:left w:val="nil"/>
              <w:bottom w:val="nil"/>
              <w:right w:val="nil"/>
            </w:tcBorders>
            <w:shd w:val="clear" w:color="auto" w:fill="FFFFFF"/>
            <w:tcMar>
              <w:top w:w="0" w:type="dxa"/>
              <w:left w:w="53" w:type="dxa"/>
              <w:bottom w:w="0" w:type="dxa"/>
              <w:right w:w="53" w:type="dxa"/>
            </w:tcMar>
            <w:vAlign w:val="bottom"/>
          </w:tcPr>
          <w:p w:rsidR="006B353C" w:rsidRDefault="002D356F">
            <w:pPr>
              <w:widowControl w:val="0"/>
              <w:spacing w:before="75" w:after="30" w:line="200" w:lineRule="auto"/>
              <w:ind w:firstLine="270"/>
              <w:rPr>
                <w:sz w:val="20"/>
              </w:rPr>
            </w:pPr>
            <w:r>
              <w:rPr>
                <w:sz w:val="20"/>
              </w:rPr>
              <w:t>Gain on sale of real estate assets</w:t>
            </w: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(3)</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(37,887)</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465"/>
          <w:jc w:val="center"/>
        </w:trPr>
        <w:tc>
          <w:tcPr>
            <w:tcW w:w="7845" w:type="dxa"/>
            <w:tcBorders>
              <w:top w:val="nil"/>
              <w:left w:val="nil"/>
              <w:bottom w:val="nil"/>
              <w:right w:val="nil"/>
            </w:tcBorders>
            <w:shd w:val="clear" w:color="auto" w:fill="CCEEFF"/>
            <w:tcMar>
              <w:top w:w="0" w:type="dxa"/>
              <w:left w:w="53" w:type="dxa"/>
              <w:bottom w:w="0" w:type="dxa"/>
              <w:right w:w="53" w:type="dxa"/>
            </w:tcMar>
            <w:vAlign w:val="bottom"/>
          </w:tcPr>
          <w:p w:rsidR="006B353C" w:rsidRDefault="002D356F">
            <w:pPr>
              <w:widowControl w:val="0"/>
              <w:spacing w:before="75" w:after="30" w:line="200" w:lineRule="auto"/>
              <w:ind w:left="360" w:hanging="360"/>
              <w:rPr>
                <w:b/>
                <w:sz w:val="20"/>
              </w:rPr>
            </w:pPr>
            <w:r>
              <w:rPr>
                <w:b/>
                <w:sz w:val="20"/>
              </w:rPr>
              <w:t xml:space="preserve">NAREIT Funds From Operations and Core Funds From Operations </w:t>
            </w:r>
            <w:r>
              <w:rPr>
                <w:b/>
                <w:sz w:val="20"/>
              </w:rPr>
              <w:t>applicable to common stock*</w:t>
            </w:r>
          </w:p>
        </w:tc>
        <w:tc>
          <w:tcPr>
            <w:tcW w:w="105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55" w:after="30" w:line="200" w:lineRule="auto"/>
              <w:jc w:val="right"/>
            </w:pPr>
            <w:r>
              <w:rPr>
                <w:b/>
                <w:color w:val="000000"/>
                <w:sz w:val="20"/>
              </w:rPr>
              <w:t>59,875 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5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05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55" w:after="30" w:line="200" w:lineRule="auto"/>
              <w:jc w:val="right"/>
            </w:pPr>
            <w:r>
              <w:rPr>
                <w:b/>
                <w:color w:val="000000"/>
                <w:sz w:val="20"/>
              </w:rPr>
              <w:t>56,315 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55" w:after="30" w:line="200" w:lineRule="auto"/>
            </w:pPr>
          </w:p>
        </w:tc>
      </w:tr>
      <w:tr w:rsidR="006B353C">
        <w:trPr>
          <w:cantSplit/>
          <w:trHeight w:hRule="exact" w:val="495"/>
          <w:jc w:val="center"/>
        </w:trPr>
        <w:tc>
          <w:tcPr>
            <w:tcW w:w="7845" w:type="dxa"/>
            <w:tcBorders>
              <w:top w:val="nil"/>
              <w:left w:val="nil"/>
              <w:bottom w:val="nil"/>
              <w:right w:val="nil"/>
            </w:tcBorders>
            <w:shd w:val="clear" w:color="auto" w:fill="FFFFFF"/>
            <w:tcMar>
              <w:top w:w="0" w:type="dxa"/>
              <w:left w:w="53" w:type="dxa"/>
              <w:bottom w:w="0" w:type="dxa"/>
              <w:right w:w="53" w:type="dxa"/>
            </w:tcMar>
            <w:vAlign w:val="bottom"/>
          </w:tcPr>
          <w:p w:rsidR="006B353C" w:rsidRDefault="002D356F">
            <w:pPr>
              <w:widowControl w:val="0"/>
              <w:spacing w:before="75" w:after="30" w:line="200" w:lineRule="auto"/>
              <w:ind w:left="450" w:hanging="180"/>
              <w:rPr>
                <w:sz w:val="20"/>
              </w:rPr>
            </w:pPr>
            <w:r>
              <w:rPr>
                <w:sz w:val="20"/>
              </w:rPr>
              <w:t>Amortization of debt issuance costs, fair market adjustments on notes payable, and discounts on debt</w:t>
            </w: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577 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523 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300"/>
          <w:jc w:val="center"/>
        </w:trPr>
        <w:tc>
          <w:tcPr>
            <w:tcW w:w="7845" w:type="dxa"/>
            <w:tcBorders>
              <w:top w:val="nil"/>
              <w:left w:val="nil"/>
              <w:bottom w:val="nil"/>
              <w:right w:val="nil"/>
            </w:tcBorders>
            <w:shd w:val="clear" w:color="auto" w:fill="CCEEFF"/>
            <w:tcMar>
              <w:top w:w="0" w:type="dxa"/>
              <w:left w:w="53" w:type="dxa"/>
              <w:bottom w:w="0" w:type="dxa"/>
              <w:right w:w="53" w:type="dxa"/>
            </w:tcMar>
            <w:vAlign w:val="bottom"/>
          </w:tcPr>
          <w:p w:rsidR="006B353C" w:rsidRDefault="002D356F">
            <w:pPr>
              <w:widowControl w:val="0"/>
              <w:spacing w:before="75" w:after="30" w:line="200" w:lineRule="auto"/>
              <w:ind w:left="270"/>
              <w:rPr>
                <w:sz w:val="20"/>
              </w:rPr>
            </w:pPr>
            <w:r>
              <w:rPr>
                <w:sz w:val="20"/>
              </w:rPr>
              <w:t xml:space="preserve">Depreciation of </w:t>
            </w:r>
            <w:proofErr w:type="spellStart"/>
            <w:r>
              <w:rPr>
                <w:sz w:val="20"/>
              </w:rPr>
              <w:t>non real</w:t>
            </w:r>
            <w:proofErr w:type="spellEnd"/>
            <w:r>
              <w:rPr>
                <w:sz w:val="20"/>
              </w:rPr>
              <w:t xml:space="preserve"> estate assets</w:t>
            </w: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325 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208 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300"/>
          <w:jc w:val="center"/>
        </w:trPr>
        <w:tc>
          <w:tcPr>
            <w:tcW w:w="7845" w:type="dxa"/>
            <w:tcBorders>
              <w:top w:val="nil"/>
              <w:left w:val="nil"/>
              <w:bottom w:val="nil"/>
              <w:right w:val="nil"/>
            </w:tcBorders>
            <w:shd w:val="clear" w:color="auto" w:fill="FFFFFF"/>
            <w:tcMar>
              <w:top w:w="0" w:type="dxa"/>
              <w:left w:w="53" w:type="dxa"/>
              <w:bottom w:w="0" w:type="dxa"/>
              <w:right w:w="53" w:type="dxa"/>
            </w:tcMar>
            <w:vAlign w:val="bottom"/>
          </w:tcPr>
          <w:p w:rsidR="006B353C" w:rsidRDefault="002D356F">
            <w:pPr>
              <w:widowControl w:val="0"/>
              <w:spacing w:before="75" w:after="30" w:line="200" w:lineRule="auto"/>
              <w:ind w:left="270"/>
              <w:rPr>
                <w:sz w:val="20"/>
              </w:rPr>
            </w:pPr>
            <w:r>
              <w:rPr>
                <w:sz w:val="20"/>
              </w:rPr>
              <w:t xml:space="preserve">Straight-line effects of lease </w:t>
            </w:r>
            <w:r>
              <w:rPr>
                <w:sz w:val="20"/>
              </w:rPr>
              <w:t>revenue</w:t>
            </w: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(6,785)</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(2,683)</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300"/>
          <w:jc w:val="center"/>
        </w:trPr>
        <w:tc>
          <w:tcPr>
            <w:tcW w:w="7845" w:type="dxa"/>
            <w:tcBorders>
              <w:top w:val="nil"/>
              <w:left w:val="nil"/>
              <w:bottom w:val="nil"/>
              <w:right w:val="nil"/>
            </w:tcBorders>
            <w:shd w:val="clear" w:color="auto" w:fill="CCEEFF"/>
            <w:tcMar>
              <w:top w:w="0" w:type="dxa"/>
              <w:left w:w="53" w:type="dxa"/>
              <w:bottom w:w="0" w:type="dxa"/>
              <w:right w:w="53" w:type="dxa"/>
            </w:tcMar>
            <w:vAlign w:val="bottom"/>
          </w:tcPr>
          <w:p w:rsidR="006B353C" w:rsidRDefault="002D356F">
            <w:pPr>
              <w:widowControl w:val="0"/>
              <w:spacing w:before="75" w:after="30" w:line="200" w:lineRule="auto"/>
              <w:ind w:left="450" w:hanging="180"/>
              <w:rPr>
                <w:sz w:val="20"/>
              </w:rPr>
            </w:pPr>
            <w:r>
              <w:rPr>
                <w:sz w:val="20"/>
              </w:rPr>
              <w:t>Stock-based compensation adjustments</w:t>
            </w: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2,300 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2,780 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300"/>
          <w:jc w:val="center"/>
        </w:trPr>
        <w:tc>
          <w:tcPr>
            <w:tcW w:w="7845" w:type="dxa"/>
            <w:tcBorders>
              <w:top w:val="nil"/>
              <w:left w:val="nil"/>
              <w:bottom w:val="nil"/>
              <w:right w:val="nil"/>
            </w:tcBorders>
            <w:shd w:val="clear" w:color="auto" w:fill="FFFFFF"/>
            <w:tcMar>
              <w:top w:w="0" w:type="dxa"/>
              <w:left w:w="53" w:type="dxa"/>
              <w:bottom w:w="0" w:type="dxa"/>
              <w:right w:w="53" w:type="dxa"/>
            </w:tcMar>
            <w:vAlign w:val="bottom"/>
          </w:tcPr>
          <w:p w:rsidR="006B353C" w:rsidRDefault="002D356F">
            <w:pPr>
              <w:widowControl w:val="0"/>
              <w:spacing w:before="75" w:after="30" w:line="200" w:lineRule="auto"/>
              <w:ind w:left="450" w:hanging="180"/>
              <w:rPr>
                <w:sz w:val="20"/>
              </w:rPr>
            </w:pPr>
            <w:r>
              <w:rPr>
                <w:sz w:val="20"/>
              </w:rPr>
              <w:t>Net effect of amortization of above/below-market in-place lease intangibles</w:t>
            </w: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(2,973)</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055"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(1,998)</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300"/>
          <w:jc w:val="center"/>
        </w:trPr>
        <w:tc>
          <w:tcPr>
            <w:tcW w:w="7845" w:type="dxa"/>
            <w:tcBorders>
              <w:top w:val="nil"/>
              <w:left w:val="nil"/>
              <w:bottom w:val="nil"/>
              <w:right w:val="nil"/>
            </w:tcBorders>
            <w:shd w:val="clear" w:color="auto" w:fill="CCEEFF"/>
            <w:tcMar>
              <w:top w:w="0" w:type="dxa"/>
              <w:left w:w="53" w:type="dxa"/>
              <w:bottom w:w="0" w:type="dxa"/>
              <w:right w:w="53" w:type="dxa"/>
            </w:tcMar>
            <w:vAlign w:val="bottom"/>
          </w:tcPr>
          <w:p w:rsidR="006B353C" w:rsidRDefault="002D356F">
            <w:pPr>
              <w:spacing w:before="75" w:after="30" w:line="200" w:lineRule="auto"/>
              <w:ind w:firstLine="270"/>
              <w:outlineLvl w:val="0"/>
              <w:rPr>
                <w:sz w:val="20"/>
              </w:rPr>
            </w:pPr>
            <w:r>
              <w:rPr>
                <w:sz w:val="20"/>
              </w:rPr>
              <w:t>Non-incremental capital expenditures</w:t>
            </w:r>
            <w:r>
              <w:rPr>
                <w:sz w:val="20"/>
                <w:vertAlign w:val="superscript"/>
              </w:rPr>
              <w:t>(2)</w:t>
            </w: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(34,762)</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055"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(3,367)</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285"/>
          <w:jc w:val="center"/>
        </w:trPr>
        <w:tc>
          <w:tcPr>
            <w:tcW w:w="7845" w:type="dxa"/>
            <w:tcBorders>
              <w:top w:val="nil"/>
              <w:left w:val="nil"/>
              <w:bottom w:val="nil"/>
              <w:right w:val="nil"/>
            </w:tcBorders>
            <w:shd w:val="clear" w:color="auto" w:fill="FFFFFF"/>
            <w:tcMar>
              <w:top w:w="0" w:type="dxa"/>
              <w:left w:w="53" w:type="dxa"/>
              <w:bottom w:w="0" w:type="dxa"/>
              <w:right w:w="53" w:type="dxa"/>
            </w:tcMar>
            <w:vAlign w:val="bottom"/>
          </w:tcPr>
          <w:p w:rsidR="006B353C" w:rsidRDefault="002D356F">
            <w:pPr>
              <w:keepNext/>
              <w:spacing w:before="75" w:after="30" w:line="200" w:lineRule="auto"/>
            </w:pPr>
            <w:r>
              <w:rPr>
                <w:b/>
                <w:color w:val="000000"/>
                <w:sz w:val="20"/>
              </w:rPr>
              <w:t xml:space="preserve">Adjusted </w:t>
            </w:r>
            <w:r>
              <w:rPr>
                <w:b/>
                <w:color w:val="000000"/>
                <w:sz w:val="20"/>
              </w:rPr>
              <w:t>funds from operations applicable to common stock*</w:t>
            </w:r>
          </w:p>
        </w:tc>
        <w:tc>
          <w:tcPr>
            <w:tcW w:w="100" w:type="dxa"/>
            <w:tcBorders>
              <w:top w:val="single" w:sz="8" w:space="0" w:color="000000"/>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55" w:after="30" w:line="200" w:lineRule="auto"/>
            </w:pPr>
            <w:r>
              <w:rPr>
                <w:b/>
                <w:color w:val="000000"/>
                <w:sz w:val="20"/>
              </w:rPr>
              <w:t>$</w:t>
            </w:r>
          </w:p>
        </w:tc>
        <w:tc>
          <w:tcPr>
            <w:tcW w:w="955" w:type="dxa"/>
            <w:tcBorders>
              <w:top w:val="single" w:sz="8" w:space="0" w:color="000000"/>
              <w:left w:val="nil"/>
              <w:bottom w:val="nil"/>
              <w:right w:val="nil"/>
            </w:tcBorders>
            <w:shd w:val="clear" w:color="auto" w:fill="FFFFFF"/>
            <w:tcMar>
              <w:top w:w="0" w:type="dxa"/>
              <w:left w:w="0" w:type="dxa"/>
              <w:bottom w:w="0" w:type="dxa"/>
              <w:right w:w="0" w:type="dxa"/>
            </w:tcMar>
            <w:vAlign w:val="bottom"/>
          </w:tcPr>
          <w:p w:rsidR="006B353C" w:rsidRDefault="002D356F">
            <w:pPr>
              <w:keepNext/>
              <w:spacing w:before="55" w:after="30" w:line="200" w:lineRule="auto"/>
              <w:jc w:val="right"/>
            </w:pPr>
            <w:r>
              <w:rPr>
                <w:b/>
                <w:color w:val="000000"/>
                <w:sz w:val="20"/>
              </w:rPr>
              <w:t>18,557 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5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00" w:type="dxa"/>
            <w:tcBorders>
              <w:top w:val="single" w:sz="8" w:space="0" w:color="000000"/>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55" w:after="30" w:line="200" w:lineRule="auto"/>
            </w:pPr>
            <w:r>
              <w:rPr>
                <w:b/>
                <w:color w:val="000000"/>
                <w:sz w:val="20"/>
              </w:rPr>
              <w:t>$</w:t>
            </w:r>
          </w:p>
        </w:tc>
        <w:tc>
          <w:tcPr>
            <w:tcW w:w="955" w:type="dxa"/>
            <w:tcBorders>
              <w:top w:val="single" w:sz="8" w:space="0" w:color="000000"/>
              <w:left w:val="nil"/>
              <w:bottom w:val="nil"/>
              <w:right w:val="nil"/>
            </w:tcBorders>
            <w:shd w:val="clear" w:color="auto" w:fill="FFFFFF"/>
            <w:tcMar>
              <w:top w:w="0" w:type="dxa"/>
              <w:left w:w="0" w:type="dxa"/>
              <w:bottom w:w="0" w:type="dxa"/>
              <w:right w:w="0" w:type="dxa"/>
            </w:tcMar>
            <w:vAlign w:val="bottom"/>
          </w:tcPr>
          <w:p w:rsidR="006B353C" w:rsidRDefault="002D356F">
            <w:pPr>
              <w:keepNext/>
              <w:spacing w:before="55" w:after="30" w:line="200" w:lineRule="auto"/>
              <w:jc w:val="right"/>
            </w:pPr>
            <w:r>
              <w:rPr>
                <w:b/>
                <w:color w:val="000000"/>
                <w:sz w:val="20"/>
              </w:rPr>
              <w:t>51,778 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55" w:after="30" w:line="200" w:lineRule="auto"/>
            </w:pPr>
          </w:p>
        </w:tc>
      </w:tr>
      <w:tr w:rsidR="006B353C">
        <w:trPr>
          <w:cantSplit/>
          <w:trHeight w:hRule="exact" w:val="315"/>
          <w:jc w:val="center"/>
        </w:trPr>
        <w:tc>
          <w:tcPr>
            <w:tcW w:w="7845" w:type="dxa"/>
            <w:tcBorders>
              <w:top w:val="nil"/>
              <w:left w:val="nil"/>
              <w:bottom w:val="nil"/>
              <w:right w:val="nil"/>
            </w:tcBorders>
            <w:shd w:val="clear" w:color="auto" w:fill="CCEEFF"/>
            <w:tcMar>
              <w:top w:w="0" w:type="dxa"/>
              <w:left w:w="53" w:type="dxa"/>
              <w:bottom w:w="0" w:type="dxa"/>
              <w:right w:w="53" w:type="dxa"/>
            </w:tcMar>
            <w:vAlign w:val="bottom"/>
          </w:tcPr>
          <w:p w:rsidR="006B353C" w:rsidRDefault="002D356F">
            <w:pPr>
              <w:keepNext/>
              <w:spacing w:before="75" w:after="30" w:line="200" w:lineRule="auto"/>
            </w:pPr>
            <w:r>
              <w:rPr>
                <w:color w:val="000000"/>
                <w:sz w:val="20"/>
              </w:rPr>
              <w:t>Weighted average common shares outstanding - diluted</w:t>
            </w:r>
          </w:p>
        </w:tc>
        <w:tc>
          <w:tcPr>
            <w:tcW w:w="1055" w:type="dxa"/>
            <w:gridSpan w:val="2"/>
            <w:tcBorders>
              <w:top w:val="double" w:sz="8" w:space="0" w:color="000000"/>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55" w:after="30" w:line="200" w:lineRule="auto"/>
              <w:jc w:val="right"/>
            </w:pPr>
            <w:r>
              <w:rPr>
                <w:color w:val="000000"/>
                <w:sz w:val="20"/>
              </w:rPr>
              <w:t>126,360 </w:t>
            </w:r>
          </w:p>
        </w:tc>
        <w:tc>
          <w:tcPr>
            <w:tcW w:w="100" w:type="dxa"/>
            <w:tcBorders>
              <w:top w:val="double" w:sz="8" w:space="0" w:color="000000"/>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55" w:after="30" w:line="200" w:lineRule="auto"/>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055" w:type="dxa"/>
            <w:gridSpan w:val="2"/>
            <w:tcBorders>
              <w:top w:val="double" w:sz="8" w:space="0" w:color="000000"/>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55" w:after="30" w:line="200" w:lineRule="auto"/>
              <w:jc w:val="right"/>
            </w:pPr>
            <w:r>
              <w:rPr>
                <w:color w:val="000000"/>
                <w:sz w:val="20"/>
              </w:rPr>
              <w:t>126,181 </w:t>
            </w:r>
          </w:p>
        </w:tc>
        <w:tc>
          <w:tcPr>
            <w:tcW w:w="100" w:type="dxa"/>
            <w:tcBorders>
              <w:top w:val="double" w:sz="8" w:space="0" w:color="000000"/>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55" w:after="30" w:line="200" w:lineRule="auto"/>
            </w:pPr>
          </w:p>
        </w:tc>
      </w:tr>
      <w:tr w:rsidR="006B353C">
        <w:trPr>
          <w:cantSplit/>
          <w:trHeight w:hRule="exact" w:val="360"/>
          <w:jc w:val="center"/>
        </w:trPr>
        <w:tc>
          <w:tcPr>
            <w:tcW w:w="7845" w:type="dxa"/>
            <w:tcBorders>
              <w:top w:val="nil"/>
              <w:left w:val="nil"/>
              <w:bottom w:val="nil"/>
              <w:right w:val="nil"/>
            </w:tcBorders>
            <w:shd w:val="clear" w:color="auto" w:fill="FFFFFF"/>
            <w:tcMar>
              <w:top w:w="0" w:type="dxa"/>
              <w:left w:w="53" w:type="dxa"/>
              <w:bottom w:w="0" w:type="dxa"/>
              <w:right w:w="53" w:type="dxa"/>
            </w:tcMar>
            <w:vAlign w:val="bottom"/>
          </w:tcPr>
          <w:p w:rsidR="006B353C" w:rsidRDefault="002D356F">
            <w:pPr>
              <w:spacing w:before="75" w:after="30" w:line="200" w:lineRule="auto"/>
            </w:pPr>
            <w:r>
              <w:rPr>
                <w:b/>
                <w:color w:val="000000"/>
                <w:sz w:val="20"/>
              </w:rPr>
              <w:t>Funds from operations and Core funds from operations per share (diluted)</w:t>
            </w:r>
          </w:p>
        </w:tc>
        <w:tc>
          <w:tcPr>
            <w:tcW w:w="100" w:type="dxa"/>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spacing w:before="75" w:after="30" w:line="200" w:lineRule="auto"/>
            </w:pPr>
            <w:r>
              <w:rPr>
                <w:b/>
                <w:color w:val="000000"/>
                <w:sz w:val="20"/>
              </w:rPr>
              <w:t>$</w:t>
            </w:r>
          </w:p>
        </w:tc>
        <w:tc>
          <w:tcPr>
            <w:tcW w:w="955" w:type="dxa"/>
            <w:tcBorders>
              <w:top w:val="nil"/>
              <w:left w:val="nil"/>
              <w:bottom w:val="nil"/>
              <w:right w:val="nil"/>
            </w:tcBorders>
            <w:shd w:val="clear" w:color="auto" w:fill="FFFFFF"/>
            <w:tcMar>
              <w:top w:w="0" w:type="dxa"/>
              <w:left w:w="0" w:type="dxa"/>
              <w:bottom w:w="0" w:type="dxa"/>
              <w:right w:w="0" w:type="dxa"/>
            </w:tcMar>
            <w:vAlign w:val="bottom"/>
          </w:tcPr>
          <w:p w:rsidR="006B353C" w:rsidRDefault="002D356F">
            <w:pPr>
              <w:spacing w:before="75" w:after="30" w:line="200" w:lineRule="auto"/>
              <w:jc w:val="right"/>
            </w:pPr>
            <w:r>
              <w:rPr>
                <w:b/>
                <w:color w:val="000000"/>
                <w:sz w:val="20"/>
              </w:rPr>
              <w:t>0.47 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spacing w:before="75" w:after="30" w:line="200" w:lineRule="auto"/>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tc>
        <w:tc>
          <w:tcPr>
            <w:tcW w:w="100" w:type="dxa"/>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spacing w:before="75" w:after="30" w:line="200" w:lineRule="auto"/>
            </w:pPr>
            <w:r>
              <w:rPr>
                <w:b/>
                <w:color w:val="000000"/>
                <w:sz w:val="20"/>
              </w:rPr>
              <w:t>$</w:t>
            </w:r>
          </w:p>
        </w:tc>
        <w:tc>
          <w:tcPr>
            <w:tcW w:w="955" w:type="dxa"/>
            <w:tcBorders>
              <w:top w:val="nil"/>
              <w:left w:val="nil"/>
              <w:bottom w:val="nil"/>
              <w:right w:val="nil"/>
            </w:tcBorders>
            <w:shd w:val="clear" w:color="auto" w:fill="FFFFFF"/>
            <w:tcMar>
              <w:top w:w="0" w:type="dxa"/>
              <w:left w:w="0" w:type="dxa"/>
              <w:bottom w:w="0" w:type="dxa"/>
              <w:right w:w="0" w:type="dxa"/>
            </w:tcMar>
            <w:vAlign w:val="bottom"/>
          </w:tcPr>
          <w:p w:rsidR="006B353C" w:rsidRDefault="002D356F">
            <w:pPr>
              <w:spacing w:before="75" w:after="30" w:line="200" w:lineRule="auto"/>
              <w:jc w:val="right"/>
            </w:pPr>
            <w:r>
              <w:rPr>
                <w:b/>
                <w:color w:val="000000"/>
                <w:sz w:val="20"/>
              </w:rPr>
              <w:t>0.45 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spacing w:before="75" w:after="30" w:line="200" w:lineRule="auto"/>
            </w:pPr>
          </w:p>
        </w:tc>
      </w:tr>
    </w:tbl>
    <w:p w:rsidR="006B353C" w:rsidRDefault="006B353C">
      <w:pPr>
        <w:spacing w:before="120"/>
        <w:rPr>
          <w:sz w:val="20"/>
        </w:rPr>
      </w:pPr>
    </w:p>
    <w:p w:rsidR="006B353C" w:rsidRDefault="002D356F">
      <w:pPr>
        <w:spacing w:after="60"/>
        <w:ind w:left="720"/>
        <w:rPr>
          <w:i/>
          <w:sz w:val="20"/>
          <w:vertAlign w:val="superscript"/>
        </w:rPr>
      </w:pPr>
      <w:r>
        <w:rPr>
          <w:i/>
          <w:sz w:val="20"/>
          <w:vertAlign w:val="superscript"/>
        </w:rPr>
        <w:t xml:space="preserve">              (1) </w:t>
      </w:r>
      <w:r>
        <w:rPr>
          <w:i/>
          <w:sz w:val="20"/>
        </w:rPr>
        <w:t xml:space="preserve">Excludes depreciation of </w:t>
      </w:r>
      <w:proofErr w:type="spellStart"/>
      <w:r>
        <w:rPr>
          <w:i/>
          <w:sz w:val="20"/>
        </w:rPr>
        <w:t>non real</w:t>
      </w:r>
      <w:proofErr w:type="spellEnd"/>
      <w:r>
        <w:rPr>
          <w:i/>
          <w:sz w:val="20"/>
        </w:rPr>
        <w:t xml:space="preserve"> estate </w:t>
      </w:r>
      <w:r>
        <w:rPr>
          <w:i/>
          <w:sz w:val="20"/>
        </w:rPr>
        <w:t>assets.</w:t>
      </w:r>
    </w:p>
    <w:p w:rsidR="006B353C" w:rsidRDefault="002D356F">
      <w:pPr>
        <w:spacing w:after="60"/>
        <w:ind w:left="1260" w:right="1080" w:hanging="900"/>
        <w:rPr>
          <w:i/>
          <w:sz w:val="18"/>
        </w:rPr>
      </w:pPr>
      <w:r>
        <w:rPr>
          <w:i/>
          <w:sz w:val="20"/>
          <w:vertAlign w:val="superscript"/>
        </w:rPr>
        <w:t xml:space="preserve">                         (2) </w:t>
      </w:r>
      <w:r>
        <w:rPr>
          <w:i/>
          <w:sz w:val="20"/>
        </w:rPr>
        <w:t>Capital expenditures of a recurring nature related to tenant improvements and leasing commissions that do not incrementally enhance the underlying assets' income generating capacity. Tenant improvements, leasing commiss</w:t>
      </w:r>
      <w:r>
        <w:rPr>
          <w:i/>
          <w:sz w:val="20"/>
        </w:rPr>
        <w:t>ions, building capital and deferred lease incentives incurred to lease space that was vacant at acquisition, leasing costs for spaces vacant for greater than one year, leasing costs for spaces at newly acquired properties for which in-place leases expire s</w:t>
      </w:r>
      <w:r>
        <w:rPr>
          <w:i/>
          <w:sz w:val="20"/>
        </w:rPr>
        <w:t>hortly after acquisition, improvements associated with the expansion of a building and renovations that change the underlying classification of a building are excluded from this measure. The current quarter's non-incremental capital expenditures include th</w:t>
      </w:r>
      <w:r>
        <w:rPr>
          <w:i/>
          <w:sz w:val="20"/>
        </w:rPr>
        <w:t>e leasing commission for the approximately 20-year, 520,000-square-foot renewal and expansion of the State of New York's lease at our 60 Broad Street building in New York City that was executed during the fourth quarter of 2019.</w:t>
      </w:r>
    </w:p>
    <w:p w:rsidR="006B353C" w:rsidRDefault="006B353C">
      <w:pPr>
        <w:ind w:left="270" w:hanging="270"/>
        <w:rPr>
          <w:i/>
          <w:sz w:val="20"/>
        </w:rPr>
      </w:pPr>
    </w:p>
    <w:p w:rsidR="006B353C" w:rsidRDefault="006B353C">
      <w:pPr>
        <w:rPr>
          <w:rFonts w:ascii="Arial" w:eastAsia="Arial" w:hAnsi="Arial" w:cs="Arial"/>
          <w:b/>
          <w:sz w:val="16"/>
          <w:shd w:val="clear" w:color="auto" w:fill="FFFFFF"/>
        </w:rPr>
      </w:pPr>
    </w:p>
    <w:p w:rsidR="006B353C" w:rsidRDefault="006B353C">
      <w:pPr>
        <w:sectPr w:rsidR="006B353C">
          <w:type w:val="continuous"/>
          <w:pgSz w:w="12240" w:h="15840"/>
          <w:pgMar w:top="855" w:right="990" w:bottom="855" w:left="990" w:header="270" w:footer="270" w:gutter="0"/>
          <w:cols w:space="720"/>
        </w:sectPr>
      </w:pPr>
    </w:p>
    <w:p w:rsidR="006B353C" w:rsidRDefault="006B353C">
      <w:pPr>
        <w:rPr>
          <w:sz w:val="20"/>
        </w:rPr>
      </w:pPr>
      <w:bookmarkStart w:id="4" w:name="Section4"/>
      <w:bookmarkEnd w:id="4"/>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153"/>
        <w:gridCol w:w="896"/>
        <w:gridCol w:w="182"/>
        <w:gridCol w:w="69"/>
        <w:gridCol w:w="153"/>
        <w:gridCol w:w="854"/>
        <w:gridCol w:w="93"/>
        <w:gridCol w:w="69"/>
        <w:gridCol w:w="153"/>
        <w:gridCol w:w="841"/>
        <w:gridCol w:w="182"/>
        <w:gridCol w:w="69"/>
        <w:gridCol w:w="153"/>
        <w:gridCol w:w="908"/>
        <w:gridCol w:w="93"/>
      </w:tblGrid>
      <w:tr w:rsidR="006B353C">
        <w:trPr>
          <w:cantSplit/>
          <w:trHeight w:hRule="exact" w:val="300"/>
        </w:trPr>
        <w:tc>
          <w:tcPr>
            <w:tcW w:w="4785" w:type="dxa"/>
            <w:tcBorders>
              <w:top w:val="nil"/>
              <w:left w:val="nil"/>
              <w:bottom w:val="nil"/>
              <w:right w:val="nil"/>
            </w:tcBorders>
            <w:tcMar>
              <w:top w:w="0" w:type="dxa"/>
              <w:left w:w="53" w:type="dxa"/>
              <w:bottom w:w="0" w:type="dxa"/>
              <w:right w:w="53" w:type="dxa"/>
            </w:tcMar>
            <w:vAlign w:val="bottom"/>
          </w:tcPr>
          <w:p w:rsidR="006B353C" w:rsidRDefault="002D356F">
            <w:pPr>
              <w:keepNext/>
              <w:spacing w:before="75" w:after="30" w:line="200" w:lineRule="auto"/>
            </w:pPr>
            <w:r>
              <w:rPr>
                <w:b/>
                <w:color w:val="000000"/>
                <w:sz w:val="20"/>
              </w:rPr>
              <w:t>Piedmont</w:t>
            </w:r>
            <w:r>
              <w:rPr>
                <w:b/>
                <w:color w:val="000000"/>
                <w:sz w:val="20"/>
              </w:rPr>
              <w:t xml:space="preserve"> Office Realty Trust, Inc.</w:t>
            </w:r>
          </w:p>
        </w:tc>
        <w:tc>
          <w:tcPr>
            <w:tcW w:w="1125" w:type="dxa"/>
            <w:gridSpan w:val="3"/>
            <w:tcBorders>
              <w:top w:val="nil"/>
              <w:left w:val="nil"/>
              <w:bottom w:val="nil"/>
              <w:right w:val="nil"/>
            </w:tcBorders>
            <w:tcMar>
              <w:top w:w="0" w:type="dxa"/>
              <w:left w:w="0" w:type="dxa"/>
              <w:bottom w:w="0" w:type="dxa"/>
              <w:right w:w="0" w:type="dxa"/>
            </w:tcMar>
            <w:vAlign w:val="bottom"/>
          </w:tcPr>
          <w:p w:rsidR="006B353C" w:rsidRDefault="006B353C">
            <w:pPr>
              <w:keepNext/>
            </w:pPr>
          </w:p>
        </w:tc>
        <w:tc>
          <w:tcPr>
            <w:tcW w:w="75" w:type="dxa"/>
            <w:tcBorders>
              <w:top w:val="nil"/>
              <w:left w:val="nil"/>
              <w:bottom w:val="nil"/>
              <w:right w:val="nil"/>
            </w:tcBorders>
            <w:tcMar>
              <w:top w:w="0" w:type="dxa"/>
              <w:left w:w="0" w:type="dxa"/>
              <w:bottom w:w="0" w:type="dxa"/>
              <w:right w:w="0" w:type="dxa"/>
            </w:tcMar>
            <w:vAlign w:val="bottom"/>
          </w:tcPr>
          <w:p w:rsidR="006B353C" w:rsidRDefault="006B353C">
            <w:pPr>
              <w:keepNext/>
            </w:pPr>
          </w:p>
        </w:tc>
        <w:tc>
          <w:tcPr>
            <w:tcW w:w="1065" w:type="dxa"/>
            <w:gridSpan w:val="3"/>
            <w:tcBorders>
              <w:top w:val="nil"/>
              <w:left w:val="nil"/>
              <w:bottom w:val="nil"/>
              <w:right w:val="nil"/>
            </w:tcBorders>
            <w:tcMar>
              <w:top w:w="0" w:type="dxa"/>
              <w:left w:w="0" w:type="dxa"/>
              <w:bottom w:w="0" w:type="dxa"/>
              <w:right w:w="0" w:type="dxa"/>
            </w:tcMar>
            <w:vAlign w:val="bottom"/>
          </w:tcPr>
          <w:p w:rsidR="006B353C" w:rsidRDefault="006B353C">
            <w:pPr>
              <w:keepNext/>
            </w:pPr>
          </w:p>
        </w:tc>
        <w:tc>
          <w:tcPr>
            <w:tcW w:w="75" w:type="dxa"/>
            <w:tcBorders>
              <w:top w:val="nil"/>
              <w:left w:val="nil"/>
              <w:bottom w:val="nil"/>
              <w:right w:val="nil"/>
            </w:tcBorders>
            <w:tcMar>
              <w:top w:w="0" w:type="dxa"/>
              <w:left w:w="0" w:type="dxa"/>
              <w:bottom w:w="0" w:type="dxa"/>
              <w:right w:w="0" w:type="dxa"/>
            </w:tcMar>
            <w:vAlign w:val="bottom"/>
          </w:tcPr>
          <w:p w:rsidR="006B353C" w:rsidRDefault="006B353C">
            <w:pPr>
              <w:keepNext/>
            </w:pPr>
          </w:p>
        </w:tc>
        <w:tc>
          <w:tcPr>
            <w:tcW w:w="1065" w:type="dxa"/>
            <w:gridSpan w:val="3"/>
            <w:tcBorders>
              <w:top w:val="nil"/>
              <w:left w:val="nil"/>
              <w:bottom w:val="nil"/>
              <w:right w:val="nil"/>
            </w:tcBorders>
            <w:tcMar>
              <w:top w:w="0" w:type="dxa"/>
              <w:left w:w="0" w:type="dxa"/>
              <w:bottom w:w="0" w:type="dxa"/>
              <w:right w:w="0" w:type="dxa"/>
            </w:tcMar>
            <w:vAlign w:val="bottom"/>
          </w:tcPr>
          <w:p w:rsidR="006B353C" w:rsidRDefault="006B353C">
            <w:pPr>
              <w:keepNext/>
            </w:pPr>
          </w:p>
        </w:tc>
        <w:tc>
          <w:tcPr>
            <w:tcW w:w="75" w:type="dxa"/>
            <w:tcBorders>
              <w:top w:val="nil"/>
              <w:left w:val="nil"/>
              <w:bottom w:val="nil"/>
              <w:right w:val="nil"/>
            </w:tcBorders>
            <w:tcMar>
              <w:top w:w="0" w:type="dxa"/>
              <w:left w:w="0" w:type="dxa"/>
              <w:bottom w:w="0" w:type="dxa"/>
              <w:right w:w="0" w:type="dxa"/>
            </w:tcMar>
            <w:vAlign w:val="bottom"/>
          </w:tcPr>
          <w:p w:rsidR="006B353C" w:rsidRDefault="006B353C">
            <w:pPr>
              <w:keepNext/>
            </w:pPr>
          </w:p>
        </w:tc>
        <w:tc>
          <w:tcPr>
            <w:tcW w:w="1125" w:type="dxa"/>
            <w:gridSpan w:val="3"/>
            <w:tcBorders>
              <w:top w:val="nil"/>
              <w:left w:val="nil"/>
              <w:bottom w:val="nil"/>
              <w:right w:val="nil"/>
            </w:tcBorders>
            <w:tcMar>
              <w:top w:w="0" w:type="dxa"/>
              <w:left w:w="0" w:type="dxa"/>
              <w:bottom w:w="0" w:type="dxa"/>
              <w:right w:w="0" w:type="dxa"/>
            </w:tcMar>
            <w:vAlign w:val="bottom"/>
          </w:tcPr>
          <w:p w:rsidR="006B353C" w:rsidRDefault="006B353C">
            <w:pPr>
              <w:keepNext/>
            </w:pPr>
          </w:p>
        </w:tc>
      </w:tr>
      <w:tr w:rsidR="006B353C">
        <w:trPr>
          <w:cantSplit/>
          <w:trHeight w:hRule="exact" w:val="495"/>
        </w:trPr>
        <w:tc>
          <w:tcPr>
            <w:tcW w:w="7125" w:type="dxa"/>
            <w:gridSpan w:val="9"/>
            <w:tcBorders>
              <w:top w:val="nil"/>
              <w:left w:val="nil"/>
              <w:bottom w:val="nil"/>
              <w:right w:val="nil"/>
            </w:tcBorders>
            <w:tcMar>
              <w:top w:w="0" w:type="dxa"/>
              <w:left w:w="53" w:type="dxa"/>
              <w:bottom w:w="0" w:type="dxa"/>
              <w:right w:w="53" w:type="dxa"/>
            </w:tcMar>
            <w:vAlign w:val="bottom"/>
          </w:tcPr>
          <w:p w:rsidR="006B353C" w:rsidRDefault="002D356F">
            <w:pPr>
              <w:widowControl w:val="0"/>
              <w:spacing w:before="75" w:after="30" w:line="200" w:lineRule="auto"/>
              <w:ind w:left="180" w:hanging="180"/>
              <w:rPr>
                <w:b/>
                <w:sz w:val="20"/>
              </w:rPr>
            </w:pPr>
            <w:proofErr w:type="spellStart"/>
            <w:r>
              <w:rPr>
                <w:b/>
                <w:sz w:val="20"/>
              </w:rPr>
              <w:t>EBITDAre</w:t>
            </w:r>
            <w:proofErr w:type="spellEnd"/>
            <w:r>
              <w:rPr>
                <w:b/>
                <w:sz w:val="20"/>
              </w:rPr>
              <w:t>, Property Net Operating Income (Cash and Accrual), Same Store Net Operating Income (Cash and Accrual)</w:t>
            </w:r>
          </w:p>
        </w:tc>
        <w:tc>
          <w:tcPr>
            <w:tcW w:w="1065" w:type="dxa"/>
            <w:gridSpan w:val="3"/>
            <w:tcBorders>
              <w:top w:val="nil"/>
              <w:left w:val="nil"/>
              <w:bottom w:val="nil"/>
              <w:right w:val="nil"/>
            </w:tcBorders>
            <w:tcMar>
              <w:top w:w="0" w:type="dxa"/>
              <w:left w:w="0" w:type="dxa"/>
              <w:bottom w:w="0" w:type="dxa"/>
              <w:right w:w="0" w:type="dxa"/>
            </w:tcMar>
            <w:vAlign w:val="bottom"/>
          </w:tcPr>
          <w:p w:rsidR="006B353C" w:rsidRDefault="006B353C">
            <w:pPr>
              <w:keepNext/>
            </w:pPr>
          </w:p>
        </w:tc>
        <w:tc>
          <w:tcPr>
            <w:tcW w:w="75" w:type="dxa"/>
            <w:tcBorders>
              <w:top w:val="nil"/>
              <w:left w:val="nil"/>
              <w:bottom w:val="nil"/>
              <w:right w:val="nil"/>
            </w:tcBorders>
            <w:tcMar>
              <w:top w:w="0" w:type="dxa"/>
              <w:left w:w="0" w:type="dxa"/>
              <w:bottom w:w="0" w:type="dxa"/>
              <w:right w:w="0" w:type="dxa"/>
            </w:tcMar>
            <w:vAlign w:val="bottom"/>
          </w:tcPr>
          <w:p w:rsidR="006B353C" w:rsidRDefault="006B353C">
            <w:pPr>
              <w:keepNext/>
            </w:pPr>
          </w:p>
        </w:tc>
        <w:tc>
          <w:tcPr>
            <w:tcW w:w="1125" w:type="dxa"/>
            <w:gridSpan w:val="3"/>
            <w:tcBorders>
              <w:top w:val="nil"/>
              <w:left w:val="nil"/>
              <w:bottom w:val="nil"/>
              <w:right w:val="nil"/>
            </w:tcBorders>
            <w:tcMar>
              <w:top w:w="0" w:type="dxa"/>
              <w:left w:w="0" w:type="dxa"/>
              <w:bottom w:w="0" w:type="dxa"/>
              <w:right w:w="0" w:type="dxa"/>
            </w:tcMar>
            <w:vAlign w:val="bottom"/>
          </w:tcPr>
          <w:p w:rsidR="006B353C" w:rsidRDefault="006B353C">
            <w:pPr>
              <w:keepNext/>
            </w:pPr>
          </w:p>
        </w:tc>
      </w:tr>
      <w:tr w:rsidR="006B353C">
        <w:trPr>
          <w:cantSplit/>
          <w:trHeight w:hRule="exact" w:val="315"/>
        </w:trPr>
        <w:tc>
          <w:tcPr>
            <w:tcW w:w="4785" w:type="dxa"/>
            <w:tcBorders>
              <w:top w:val="nil"/>
              <w:left w:val="nil"/>
              <w:bottom w:val="nil"/>
              <w:right w:val="nil"/>
            </w:tcBorders>
            <w:tcMar>
              <w:top w:w="0" w:type="dxa"/>
              <w:left w:w="53" w:type="dxa"/>
              <w:bottom w:w="0" w:type="dxa"/>
              <w:right w:w="53" w:type="dxa"/>
            </w:tcMar>
            <w:vAlign w:val="bottom"/>
          </w:tcPr>
          <w:p w:rsidR="006B353C" w:rsidRDefault="002D356F">
            <w:pPr>
              <w:keepNext/>
              <w:spacing w:before="75" w:after="30" w:line="200" w:lineRule="auto"/>
            </w:pPr>
            <w:r>
              <w:rPr>
                <w:b/>
                <w:i/>
                <w:color w:val="000000"/>
                <w:sz w:val="20"/>
              </w:rPr>
              <w:t>Unaudited (in thousands)</w:t>
            </w:r>
          </w:p>
        </w:tc>
        <w:tc>
          <w:tcPr>
            <w:tcW w:w="1125" w:type="dxa"/>
            <w:gridSpan w:val="3"/>
            <w:tcBorders>
              <w:top w:val="nil"/>
              <w:left w:val="nil"/>
              <w:bottom w:val="nil"/>
              <w:right w:val="nil"/>
            </w:tcBorders>
            <w:tcMar>
              <w:top w:w="0" w:type="dxa"/>
              <w:left w:w="0" w:type="dxa"/>
              <w:bottom w:w="0" w:type="dxa"/>
              <w:right w:w="0" w:type="dxa"/>
            </w:tcMar>
            <w:vAlign w:val="bottom"/>
          </w:tcPr>
          <w:p w:rsidR="006B353C" w:rsidRDefault="006B353C">
            <w:pPr>
              <w:keepNext/>
            </w:pPr>
          </w:p>
        </w:tc>
        <w:tc>
          <w:tcPr>
            <w:tcW w:w="75" w:type="dxa"/>
            <w:tcBorders>
              <w:top w:val="nil"/>
              <w:left w:val="nil"/>
              <w:bottom w:val="nil"/>
              <w:right w:val="nil"/>
            </w:tcBorders>
            <w:tcMar>
              <w:top w:w="0" w:type="dxa"/>
              <w:left w:w="0" w:type="dxa"/>
              <w:bottom w:w="0" w:type="dxa"/>
              <w:right w:w="0" w:type="dxa"/>
            </w:tcMar>
            <w:vAlign w:val="bottom"/>
          </w:tcPr>
          <w:p w:rsidR="006B353C" w:rsidRDefault="006B353C">
            <w:pPr>
              <w:keepNext/>
            </w:pPr>
          </w:p>
        </w:tc>
        <w:tc>
          <w:tcPr>
            <w:tcW w:w="1065" w:type="dxa"/>
            <w:gridSpan w:val="3"/>
            <w:tcBorders>
              <w:top w:val="nil"/>
              <w:left w:val="nil"/>
              <w:bottom w:val="nil"/>
              <w:right w:val="nil"/>
            </w:tcBorders>
            <w:tcMar>
              <w:top w:w="0" w:type="dxa"/>
              <w:left w:w="0" w:type="dxa"/>
              <w:bottom w:w="0" w:type="dxa"/>
              <w:right w:w="0" w:type="dxa"/>
            </w:tcMar>
            <w:vAlign w:val="bottom"/>
          </w:tcPr>
          <w:p w:rsidR="006B353C" w:rsidRDefault="006B353C">
            <w:pPr>
              <w:keepNext/>
            </w:pPr>
          </w:p>
        </w:tc>
        <w:tc>
          <w:tcPr>
            <w:tcW w:w="75" w:type="dxa"/>
            <w:tcBorders>
              <w:top w:val="nil"/>
              <w:left w:val="nil"/>
              <w:bottom w:val="nil"/>
              <w:right w:val="nil"/>
            </w:tcBorders>
            <w:tcMar>
              <w:top w:w="0" w:type="dxa"/>
              <w:left w:w="0" w:type="dxa"/>
              <w:bottom w:w="0" w:type="dxa"/>
              <w:right w:w="0" w:type="dxa"/>
            </w:tcMar>
            <w:vAlign w:val="bottom"/>
          </w:tcPr>
          <w:p w:rsidR="006B353C" w:rsidRDefault="006B353C">
            <w:pPr>
              <w:keepNext/>
            </w:pPr>
          </w:p>
        </w:tc>
        <w:tc>
          <w:tcPr>
            <w:tcW w:w="1065" w:type="dxa"/>
            <w:gridSpan w:val="3"/>
            <w:tcBorders>
              <w:top w:val="nil"/>
              <w:left w:val="nil"/>
              <w:bottom w:val="nil"/>
              <w:right w:val="nil"/>
            </w:tcBorders>
            <w:tcMar>
              <w:top w:w="0" w:type="dxa"/>
              <w:left w:w="0" w:type="dxa"/>
              <w:bottom w:w="0" w:type="dxa"/>
              <w:right w:w="0" w:type="dxa"/>
            </w:tcMar>
            <w:vAlign w:val="bottom"/>
          </w:tcPr>
          <w:p w:rsidR="006B353C" w:rsidRDefault="006B353C">
            <w:pPr>
              <w:keepNext/>
            </w:pPr>
          </w:p>
        </w:tc>
        <w:tc>
          <w:tcPr>
            <w:tcW w:w="75" w:type="dxa"/>
            <w:tcBorders>
              <w:top w:val="nil"/>
              <w:left w:val="nil"/>
              <w:bottom w:val="nil"/>
              <w:right w:val="nil"/>
            </w:tcBorders>
            <w:tcMar>
              <w:top w:w="0" w:type="dxa"/>
              <w:left w:w="0" w:type="dxa"/>
              <w:bottom w:w="0" w:type="dxa"/>
              <w:right w:w="0" w:type="dxa"/>
            </w:tcMar>
            <w:vAlign w:val="bottom"/>
          </w:tcPr>
          <w:p w:rsidR="006B353C" w:rsidRDefault="006B353C">
            <w:pPr>
              <w:keepNext/>
            </w:pPr>
          </w:p>
        </w:tc>
        <w:tc>
          <w:tcPr>
            <w:tcW w:w="1125" w:type="dxa"/>
            <w:gridSpan w:val="3"/>
            <w:tcBorders>
              <w:top w:val="nil"/>
              <w:left w:val="nil"/>
              <w:bottom w:val="nil"/>
              <w:right w:val="nil"/>
            </w:tcBorders>
            <w:tcMar>
              <w:top w:w="0" w:type="dxa"/>
              <w:left w:w="0" w:type="dxa"/>
              <w:bottom w:w="0" w:type="dxa"/>
              <w:right w:w="0" w:type="dxa"/>
            </w:tcMar>
            <w:vAlign w:val="bottom"/>
          </w:tcPr>
          <w:p w:rsidR="006B353C" w:rsidRDefault="006B353C">
            <w:pPr>
              <w:keepNext/>
            </w:pPr>
          </w:p>
        </w:tc>
      </w:tr>
      <w:tr w:rsidR="006B353C">
        <w:trPr>
          <w:cantSplit/>
          <w:trHeight w:hRule="exact" w:val="315"/>
        </w:trPr>
        <w:tc>
          <w:tcPr>
            <w:tcW w:w="4785" w:type="dxa"/>
            <w:tcBorders>
              <w:top w:val="single" w:sz="8" w:space="0" w:color="000000"/>
              <w:left w:val="nil"/>
              <w:bottom w:val="nil"/>
              <w:right w:val="nil"/>
            </w:tcBorders>
            <w:tcMar>
              <w:top w:w="0" w:type="dxa"/>
              <w:left w:w="0" w:type="dxa"/>
              <w:bottom w:w="0" w:type="dxa"/>
              <w:right w:w="0" w:type="dxa"/>
            </w:tcMar>
            <w:vAlign w:val="bottom"/>
          </w:tcPr>
          <w:p w:rsidR="006B353C" w:rsidRDefault="006B353C">
            <w:pPr>
              <w:keepNext/>
            </w:pPr>
          </w:p>
        </w:tc>
        <w:tc>
          <w:tcPr>
            <w:tcW w:w="1125" w:type="dxa"/>
            <w:gridSpan w:val="3"/>
            <w:tcBorders>
              <w:top w:val="single" w:sz="8" w:space="0" w:color="000000"/>
              <w:left w:val="nil"/>
              <w:bottom w:val="nil"/>
              <w:right w:val="nil"/>
            </w:tcBorders>
            <w:tcMar>
              <w:top w:w="0" w:type="dxa"/>
              <w:left w:w="0" w:type="dxa"/>
              <w:bottom w:w="0" w:type="dxa"/>
              <w:right w:w="0" w:type="dxa"/>
            </w:tcMar>
            <w:vAlign w:val="bottom"/>
          </w:tcPr>
          <w:p w:rsidR="006B353C" w:rsidRDefault="006B353C">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rsidR="006B353C" w:rsidRDefault="006B353C">
            <w:pPr>
              <w:keepNext/>
            </w:pPr>
          </w:p>
        </w:tc>
        <w:tc>
          <w:tcPr>
            <w:tcW w:w="1065" w:type="dxa"/>
            <w:gridSpan w:val="3"/>
            <w:tcBorders>
              <w:top w:val="single" w:sz="8" w:space="0" w:color="000000"/>
              <w:left w:val="nil"/>
              <w:bottom w:val="nil"/>
              <w:right w:val="nil"/>
            </w:tcBorders>
            <w:tcMar>
              <w:top w:w="0" w:type="dxa"/>
              <w:left w:w="0" w:type="dxa"/>
              <w:bottom w:w="0" w:type="dxa"/>
              <w:right w:w="0" w:type="dxa"/>
            </w:tcMar>
            <w:vAlign w:val="bottom"/>
          </w:tcPr>
          <w:p w:rsidR="006B353C" w:rsidRDefault="006B353C">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rsidR="006B353C" w:rsidRDefault="006B353C">
            <w:pPr>
              <w:keepNext/>
            </w:pPr>
          </w:p>
        </w:tc>
        <w:tc>
          <w:tcPr>
            <w:tcW w:w="1065" w:type="dxa"/>
            <w:gridSpan w:val="3"/>
            <w:tcBorders>
              <w:top w:val="single" w:sz="8" w:space="0" w:color="000000"/>
              <w:left w:val="nil"/>
              <w:bottom w:val="nil"/>
              <w:right w:val="nil"/>
            </w:tcBorders>
            <w:tcMar>
              <w:top w:w="0" w:type="dxa"/>
              <w:left w:w="0" w:type="dxa"/>
              <w:bottom w:w="0" w:type="dxa"/>
              <w:right w:w="0" w:type="dxa"/>
            </w:tcMar>
            <w:vAlign w:val="bottom"/>
          </w:tcPr>
          <w:p w:rsidR="006B353C" w:rsidRDefault="006B353C">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rsidR="006B353C" w:rsidRDefault="006B353C">
            <w:pPr>
              <w:keepNext/>
            </w:pPr>
          </w:p>
        </w:tc>
        <w:tc>
          <w:tcPr>
            <w:tcW w:w="1125" w:type="dxa"/>
            <w:gridSpan w:val="3"/>
            <w:tcBorders>
              <w:top w:val="single" w:sz="8" w:space="0" w:color="000000"/>
              <w:left w:val="nil"/>
              <w:bottom w:val="nil"/>
              <w:right w:val="nil"/>
            </w:tcBorders>
            <w:tcMar>
              <w:top w:w="0" w:type="dxa"/>
              <w:left w:w="0" w:type="dxa"/>
              <w:bottom w:w="0" w:type="dxa"/>
              <w:right w:w="0" w:type="dxa"/>
            </w:tcMar>
            <w:vAlign w:val="bottom"/>
          </w:tcPr>
          <w:p w:rsidR="006B353C" w:rsidRDefault="006B353C">
            <w:pPr>
              <w:keepNext/>
            </w:pPr>
          </w:p>
        </w:tc>
      </w:tr>
      <w:tr w:rsidR="006B353C">
        <w:trPr>
          <w:cantSplit/>
          <w:trHeight w:hRule="exact" w:val="315"/>
        </w:trPr>
        <w:tc>
          <w:tcPr>
            <w:tcW w:w="4785" w:type="dxa"/>
            <w:tcBorders>
              <w:top w:val="nil"/>
              <w:left w:val="nil"/>
              <w:bottom w:val="nil"/>
              <w:right w:val="nil"/>
            </w:tcBorders>
            <w:tcMar>
              <w:top w:w="0" w:type="dxa"/>
              <w:left w:w="0" w:type="dxa"/>
              <w:bottom w:w="0" w:type="dxa"/>
              <w:right w:w="0" w:type="dxa"/>
            </w:tcMar>
            <w:vAlign w:val="bottom"/>
          </w:tcPr>
          <w:p w:rsidR="006B353C" w:rsidRDefault="006B353C">
            <w:pPr>
              <w:keepNext/>
            </w:pPr>
          </w:p>
        </w:tc>
        <w:tc>
          <w:tcPr>
            <w:tcW w:w="2265" w:type="dxa"/>
            <w:gridSpan w:val="7"/>
            <w:tcBorders>
              <w:top w:val="nil"/>
              <w:left w:val="nil"/>
              <w:bottom w:val="nil"/>
              <w:right w:val="nil"/>
            </w:tcBorders>
            <w:tcMar>
              <w:top w:w="0" w:type="dxa"/>
              <w:left w:w="53" w:type="dxa"/>
              <w:bottom w:w="0" w:type="dxa"/>
              <w:right w:w="53" w:type="dxa"/>
            </w:tcMar>
            <w:vAlign w:val="bottom"/>
          </w:tcPr>
          <w:p w:rsidR="006B353C" w:rsidRDefault="002D356F">
            <w:pPr>
              <w:keepNext/>
              <w:spacing w:before="75" w:after="30" w:line="200" w:lineRule="auto"/>
              <w:jc w:val="center"/>
            </w:pPr>
            <w:r>
              <w:rPr>
                <w:b/>
                <w:color w:val="000000"/>
                <w:sz w:val="20"/>
              </w:rPr>
              <w:t>Cash Basis</w:t>
            </w:r>
          </w:p>
        </w:tc>
        <w:tc>
          <w:tcPr>
            <w:tcW w:w="75" w:type="dxa"/>
            <w:tcBorders>
              <w:top w:val="nil"/>
              <w:left w:val="nil"/>
              <w:bottom w:val="nil"/>
              <w:right w:val="nil"/>
            </w:tcBorders>
            <w:tcMar>
              <w:top w:w="0" w:type="dxa"/>
              <w:left w:w="0" w:type="dxa"/>
              <w:bottom w:w="0" w:type="dxa"/>
              <w:right w:w="0" w:type="dxa"/>
            </w:tcMar>
            <w:vAlign w:val="bottom"/>
          </w:tcPr>
          <w:p w:rsidR="006B353C" w:rsidRDefault="006B353C">
            <w:pPr>
              <w:keepNext/>
            </w:pPr>
          </w:p>
        </w:tc>
        <w:tc>
          <w:tcPr>
            <w:tcW w:w="2265" w:type="dxa"/>
            <w:gridSpan w:val="7"/>
            <w:tcBorders>
              <w:top w:val="nil"/>
              <w:left w:val="nil"/>
              <w:bottom w:val="nil"/>
              <w:right w:val="nil"/>
            </w:tcBorders>
            <w:tcMar>
              <w:top w:w="0" w:type="dxa"/>
              <w:left w:w="53" w:type="dxa"/>
              <w:bottom w:w="0" w:type="dxa"/>
              <w:right w:w="53" w:type="dxa"/>
            </w:tcMar>
            <w:vAlign w:val="bottom"/>
          </w:tcPr>
          <w:p w:rsidR="006B353C" w:rsidRDefault="002D356F">
            <w:pPr>
              <w:keepNext/>
              <w:spacing w:before="75" w:after="30" w:line="200" w:lineRule="auto"/>
              <w:jc w:val="center"/>
            </w:pPr>
            <w:r>
              <w:rPr>
                <w:b/>
                <w:color w:val="000000"/>
                <w:sz w:val="20"/>
              </w:rPr>
              <w:t>Accrual Basis</w:t>
            </w:r>
          </w:p>
        </w:tc>
      </w:tr>
      <w:tr w:rsidR="006B353C">
        <w:trPr>
          <w:cantSplit/>
          <w:trHeight w:hRule="exact" w:val="495"/>
        </w:trPr>
        <w:tc>
          <w:tcPr>
            <w:tcW w:w="4785" w:type="dxa"/>
            <w:tcBorders>
              <w:top w:val="nil"/>
              <w:left w:val="nil"/>
              <w:bottom w:val="nil"/>
              <w:right w:val="nil"/>
            </w:tcBorders>
            <w:tcMar>
              <w:top w:w="0" w:type="dxa"/>
              <w:left w:w="0" w:type="dxa"/>
              <w:bottom w:w="0" w:type="dxa"/>
              <w:right w:w="0" w:type="dxa"/>
            </w:tcMar>
            <w:vAlign w:val="bottom"/>
          </w:tcPr>
          <w:p w:rsidR="006B353C" w:rsidRDefault="006B353C">
            <w:pPr>
              <w:keepNext/>
            </w:pPr>
          </w:p>
        </w:tc>
        <w:tc>
          <w:tcPr>
            <w:tcW w:w="2265" w:type="dxa"/>
            <w:gridSpan w:val="7"/>
            <w:tcBorders>
              <w:top w:val="single" w:sz="8" w:space="0" w:color="000000"/>
              <w:left w:val="nil"/>
              <w:bottom w:val="nil"/>
              <w:right w:val="nil"/>
            </w:tcBorders>
            <w:tcMar>
              <w:top w:w="0" w:type="dxa"/>
              <w:left w:w="53" w:type="dxa"/>
              <w:bottom w:w="0" w:type="dxa"/>
              <w:right w:w="53" w:type="dxa"/>
            </w:tcMar>
            <w:vAlign w:val="bottom"/>
          </w:tcPr>
          <w:p w:rsidR="006B353C" w:rsidRDefault="002D356F">
            <w:pPr>
              <w:keepNext/>
              <w:spacing w:before="55" w:after="30" w:line="200" w:lineRule="auto"/>
              <w:jc w:val="center"/>
            </w:pPr>
            <w:r>
              <w:rPr>
                <w:b/>
                <w:color w:val="000000"/>
                <w:sz w:val="20"/>
              </w:rPr>
              <w:t>Three Months Ended</w:t>
            </w:r>
          </w:p>
        </w:tc>
        <w:tc>
          <w:tcPr>
            <w:tcW w:w="75" w:type="dxa"/>
            <w:tcBorders>
              <w:top w:val="nil"/>
              <w:left w:val="nil"/>
              <w:bottom w:val="nil"/>
              <w:right w:val="nil"/>
            </w:tcBorders>
            <w:tcMar>
              <w:top w:w="0" w:type="dxa"/>
              <w:left w:w="0" w:type="dxa"/>
              <w:bottom w:w="0" w:type="dxa"/>
              <w:right w:w="0" w:type="dxa"/>
            </w:tcMar>
            <w:vAlign w:val="bottom"/>
          </w:tcPr>
          <w:p w:rsidR="006B353C" w:rsidRDefault="006B353C">
            <w:pPr>
              <w:keepNext/>
            </w:pPr>
          </w:p>
        </w:tc>
        <w:tc>
          <w:tcPr>
            <w:tcW w:w="2265" w:type="dxa"/>
            <w:gridSpan w:val="7"/>
            <w:tcBorders>
              <w:top w:val="single" w:sz="8" w:space="0" w:color="000000"/>
              <w:left w:val="nil"/>
              <w:bottom w:val="nil"/>
              <w:right w:val="nil"/>
            </w:tcBorders>
            <w:tcMar>
              <w:top w:w="0" w:type="dxa"/>
              <w:left w:w="53" w:type="dxa"/>
              <w:bottom w:w="0" w:type="dxa"/>
              <w:right w:w="53" w:type="dxa"/>
            </w:tcMar>
            <w:vAlign w:val="bottom"/>
          </w:tcPr>
          <w:p w:rsidR="006B353C" w:rsidRDefault="002D356F">
            <w:pPr>
              <w:keepNext/>
              <w:spacing w:before="55" w:after="30" w:line="200" w:lineRule="auto"/>
              <w:jc w:val="center"/>
            </w:pPr>
            <w:r>
              <w:rPr>
                <w:b/>
                <w:color w:val="000000"/>
                <w:sz w:val="20"/>
              </w:rPr>
              <w:t xml:space="preserve">Three </w:t>
            </w:r>
            <w:r>
              <w:rPr>
                <w:b/>
                <w:color w:val="000000"/>
                <w:sz w:val="20"/>
              </w:rPr>
              <w:t>Months Ended</w:t>
            </w:r>
          </w:p>
        </w:tc>
      </w:tr>
      <w:tr w:rsidR="006B353C">
        <w:trPr>
          <w:cantSplit/>
          <w:trHeight w:hRule="exact" w:val="495"/>
        </w:trPr>
        <w:tc>
          <w:tcPr>
            <w:tcW w:w="4785" w:type="dxa"/>
            <w:tcBorders>
              <w:top w:val="nil"/>
              <w:left w:val="nil"/>
              <w:bottom w:val="nil"/>
              <w:right w:val="nil"/>
            </w:tcBorders>
            <w:tcMar>
              <w:top w:w="0" w:type="dxa"/>
              <w:left w:w="0" w:type="dxa"/>
              <w:bottom w:w="0" w:type="dxa"/>
              <w:right w:w="0" w:type="dxa"/>
            </w:tcMar>
            <w:vAlign w:val="bottom"/>
          </w:tcPr>
          <w:p w:rsidR="006B353C" w:rsidRDefault="006B353C">
            <w:pPr>
              <w:keepNext/>
            </w:pPr>
          </w:p>
        </w:tc>
        <w:tc>
          <w:tcPr>
            <w:tcW w:w="1125" w:type="dxa"/>
            <w:gridSpan w:val="3"/>
            <w:tcBorders>
              <w:top w:val="single" w:sz="8" w:space="0" w:color="000000"/>
              <w:left w:val="nil"/>
              <w:bottom w:val="nil"/>
              <w:right w:val="nil"/>
            </w:tcBorders>
            <w:tcMar>
              <w:top w:w="0" w:type="dxa"/>
              <w:left w:w="53" w:type="dxa"/>
              <w:bottom w:w="0" w:type="dxa"/>
              <w:right w:w="53" w:type="dxa"/>
            </w:tcMar>
            <w:vAlign w:val="bottom"/>
          </w:tcPr>
          <w:p w:rsidR="006B353C" w:rsidRDefault="002D356F">
            <w:pPr>
              <w:keepNext/>
              <w:spacing w:before="55" w:after="30" w:line="200" w:lineRule="auto"/>
              <w:jc w:val="center"/>
            </w:pPr>
            <w:r>
              <w:rPr>
                <w:b/>
                <w:color w:val="000000"/>
                <w:sz w:val="20"/>
              </w:rPr>
              <w:t>3/31/2020</w:t>
            </w:r>
          </w:p>
        </w:tc>
        <w:tc>
          <w:tcPr>
            <w:tcW w:w="75" w:type="dxa"/>
            <w:tcBorders>
              <w:top w:val="single" w:sz="8" w:space="0" w:color="000000"/>
              <w:left w:val="nil"/>
              <w:bottom w:val="nil"/>
              <w:right w:val="nil"/>
            </w:tcBorders>
            <w:tcMar>
              <w:top w:w="0" w:type="dxa"/>
              <w:left w:w="0" w:type="dxa"/>
              <w:bottom w:w="0" w:type="dxa"/>
              <w:right w:w="0" w:type="dxa"/>
            </w:tcMar>
            <w:vAlign w:val="bottom"/>
          </w:tcPr>
          <w:p w:rsidR="006B353C" w:rsidRDefault="006B353C">
            <w:pPr>
              <w:keepNext/>
            </w:pPr>
          </w:p>
        </w:tc>
        <w:tc>
          <w:tcPr>
            <w:tcW w:w="1065" w:type="dxa"/>
            <w:gridSpan w:val="3"/>
            <w:tcBorders>
              <w:top w:val="single" w:sz="8" w:space="0" w:color="000000"/>
              <w:left w:val="nil"/>
              <w:bottom w:val="nil"/>
              <w:right w:val="nil"/>
            </w:tcBorders>
            <w:tcMar>
              <w:top w:w="0" w:type="dxa"/>
              <w:left w:w="53" w:type="dxa"/>
              <w:bottom w:w="0" w:type="dxa"/>
              <w:right w:w="53" w:type="dxa"/>
            </w:tcMar>
            <w:vAlign w:val="bottom"/>
          </w:tcPr>
          <w:p w:rsidR="006B353C" w:rsidRDefault="002D356F">
            <w:pPr>
              <w:keepNext/>
              <w:spacing w:before="55" w:after="30" w:line="200" w:lineRule="auto"/>
              <w:jc w:val="center"/>
            </w:pPr>
            <w:r>
              <w:rPr>
                <w:b/>
                <w:color w:val="000000"/>
                <w:sz w:val="20"/>
              </w:rPr>
              <w:t>3/31/2019</w:t>
            </w:r>
          </w:p>
        </w:tc>
        <w:tc>
          <w:tcPr>
            <w:tcW w:w="75" w:type="dxa"/>
            <w:tcBorders>
              <w:top w:val="nil"/>
              <w:left w:val="nil"/>
              <w:bottom w:val="nil"/>
              <w:right w:val="nil"/>
            </w:tcBorders>
            <w:tcMar>
              <w:top w:w="0" w:type="dxa"/>
              <w:left w:w="0" w:type="dxa"/>
              <w:bottom w:w="0" w:type="dxa"/>
              <w:right w:w="0" w:type="dxa"/>
            </w:tcMar>
            <w:vAlign w:val="bottom"/>
          </w:tcPr>
          <w:p w:rsidR="006B353C" w:rsidRDefault="006B353C">
            <w:pPr>
              <w:keepNext/>
            </w:pPr>
          </w:p>
        </w:tc>
        <w:tc>
          <w:tcPr>
            <w:tcW w:w="1065" w:type="dxa"/>
            <w:gridSpan w:val="3"/>
            <w:tcBorders>
              <w:top w:val="single" w:sz="8" w:space="0" w:color="000000"/>
              <w:left w:val="nil"/>
              <w:bottom w:val="nil"/>
              <w:right w:val="nil"/>
            </w:tcBorders>
            <w:tcMar>
              <w:top w:w="0" w:type="dxa"/>
              <w:left w:w="53" w:type="dxa"/>
              <w:bottom w:w="0" w:type="dxa"/>
              <w:right w:w="53" w:type="dxa"/>
            </w:tcMar>
            <w:vAlign w:val="bottom"/>
          </w:tcPr>
          <w:p w:rsidR="006B353C" w:rsidRDefault="002D356F">
            <w:pPr>
              <w:keepNext/>
              <w:spacing w:before="55" w:after="30" w:line="200" w:lineRule="auto"/>
              <w:jc w:val="center"/>
            </w:pPr>
            <w:r>
              <w:rPr>
                <w:b/>
                <w:color w:val="000000"/>
                <w:sz w:val="20"/>
              </w:rPr>
              <w:t>3/31/2020</w:t>
            </w:r>
          </w:p>
        </w:tc>
        <w:tc>
          <w:tcPr>
            <w:tcW w:w="75" w:type="dxa"/>
            <w:tcBorders>
              <w:top w:val="single" w:sz="8" w:space="0" w:color="000000"/>
              <w:left w:val="nil"/>
              <w:bottom w:val="nil"/>
              <w:right w:val="nil"/>
            </w:tcBorders>
            <w:tcMar>
              <w:top w:w="0" w:type="dxa"/>
              <w:left w:w="0" w:type="dxa"/>
              <w:bottom w:w="0" w:type="dxa"/>
              <w:right w:w="0" w:type="dxa"/>
            </w:tcMar>
            <w:vAlign w:val="bottom"/>
          </w:tcPr>
          <w:p w:rsidR="006B353C" w:rsidRDefault="006B353C">
            <w:pPr>
              <w:keepNext/>
            </w:pPr>
          </w:p>
        </w:tc>
        <w:tc>
          <w:tcPr>
            <w:tcW w:w="1125" w:type="dxa"/>
            <w:gridSpan w:val="3"/>
            <w:tcBorders>
              <w:top w:val="single" w:sz="8" w:space="0" w:color="000000"/>
              <w:left w:val="nil"/>
              <w:bottom w:val="nil"/>
              <w:right w:val="nil"/>
            </w:tcBorders>
            <w:tcMar>
              <w:top w:w="0" w:type="dxa"/>
              <w:left w:w="53" w:type="dxa"/>
              <w:bottom w:w="0" w:type="dxa"/>
              <w:right w:w="53" w:type="dxa"/>
            </w:tcMar>
            <w:vAlign w:val="bottom"/>
          </w:tcPr>
          <w:p w:rsidR="006B353C" w:rsidRDefault="002D356F">
            <w:pPr>
              <w:keepNext/>
              <w:spacing w:before="55" w:after="30" w:line="200" w:lineRule="auto"/>
              <w:jc w:val="center"/>
            </w:pPr>
            <w:r>
              <w:rPr>
                <w:b/>
                <w:color w:val="000000"/>
                <w:sz w:val="20"/>
              </w:rPr>
              <w:t>3/31/2019</w:t>
            </w:r>
          </w:p>
        </w:tc>
      </w:tr>
      <w:tr w:rsidR="006B353C">
        <w:trPr>
          <w:cantSplit/>
          <w:trHeight w:hRule="exact" w:val="315"/>
        </w:trPr>
        <w:tc>
          <w:tcPr>
            <w:tcW w:w="4785" w:type="dxa"/>
            <w:tcBorders>
              <w:top w:val="nil"/>
              <w:left w:val="nil"/>
              <w:bottom w:val="nil"/>
              <w:right w:val="nil"/>
            </w:tcBorders>
            <w:tcMar>
              <w:top w:w="0" w:type="dxa"/>
              <w:left w:w="0" w:type="dxa"/>
              <w:bottom w:w="0" w:type="dxa"/>
              <w:right w:w="0" w:type="dxa"/>
            </w:tcMar>
            <w:vAlign w:val="bottom"/>
          </w:tcPr>
          <w:p w:rsidR="006B353C" w:rsidRDefault="006B353C">
            <w:pPr>
              <w:keepNext/>
            </w:pPr>
          </w:p>
        </w:tc>
        <w:tc>
          <w:tcPr>
            <w:tcW w:w="1125" w:type="dxa"/>
            <w:gridSpan w:val="3"/>
            <w:tcBorders>
              <w:top w:val="single" w:sz="8" w:space="0" w:color="000000"/>
              <w:left w:val="nil"/>
              <w:bottom w:val="nil"/>
              <w:right w:val="nil"/>
            </w:tcBorders>
            <w:tcMar>
              <w:top w:w="0" w:type="dxa"/>
              <w:left w:w="0" w:type="dxa"/>
              <w:bottom w:w="0" w:type="dxa"/>
              <w:right w:w="0" w:type="dxa"/>
            </w:tcMar>
            <w:vAlign w:val="bottom"/>
          </w:tcPr>
          <w:p w:rsidR="006B353C" w:rsidRDefault="006B353C">
            <w:pPr>
              <w:keepNext/>
            </w:pPr>
          </w:p>
        </w:tc>
        <w:tc>
          <w:tcPr>
            <w:tcW w:w="75" w:type="dxa"/>
            <w:tcBorders>
              <w:top w:val="nil"/>
              <w:left w:val="nil"/>
              <w:bottom w:val="nil"/>
              <w:right w:val="nil"/>
            </w:tcBorders>
            <w:tcMar>
              <w:top w:w="0" w:type="dxa"/>
              <w:left w:w="0" w:type="dxa"/>
              <w:bottom w:w="0" w:type="dxa"/>
              <w:right w:w="0" w:type="dxa"/>
            </w:tcMar>
            <w:vAlign w:val="bottom"/>
          </w:tcPr>
          <w:p w:rsidR="006B353C" w:rsidRDefault="006B353C">
            <w:pPr>
              <w:keepNext/>
            </w:pPr>
          </w:p>
        </w:tc>
        <w:tc>
          <w:tcPr>
            <w:tcW w:w="1065" w:type="dxa"/>
            <w:gridSpan w:val="3"/>
            <w:tcBorders>
              <w:top w:val="single" w:sz="8" w:space="0" w:color="000000"/>
              <w:left w:val="nil"/>
              <w:bottom w:val="nil"/>
              <w:right w:val="nil"/>
            </w:tcBorders>
            <w:tcMar>
              <w:top w:w="0" w:type="dxa"/>
              <w:left w:w="0" w:type="dxa"/>
              <w:bottom w:w="0" w:type="dxa"/>
              <w:right w:w="0" w:type="dxa"/>
            </w:tcMar>
            <w:vAlign w:val="bottom"/>
          </w:tcPr>
          <w:p w:rsidR="006B353C" w:rsidRDefault="006B353C">
            <w:pPr>
              <w:keepNext/>
            </w:pPr>
          </w:p>
        </w:tc>
        <w:tc>
          <w:tcPr>
            <w:tcW w:w="75" w:type="dxa"/>
            <w:tcBorders>
              <w:top w:val="nil"/>
              <w:left w:val="nil"/>
              <w:bottom w:val="nil"/>
              <w:right w:val="nil"/>
            </w:tcBorders>
            <w:tcMar>
              <w:top w:w="0" w:type="dxa"/>
              <w:left w:w="0" w:type="dxa"/>
              <w:bottom w:w="0" w:type="dxa"/>
              <w:right w:w="0" w:type="dxa"/>
            </w:tcMar>
            <w:vAlign w:val="bottom"/>
          </w:tcPr>
          <w:p w:rsidR="006B353C" w:rsidRDefault="006B353C">
            <w:pPr>
              <w:keepNext/>
            </w:pPr>
          </w:p>
        </w:tc>
        <w:tc>
          <w:tcPr>
            <w:tcW w:w="1065" w:type="dxa"/>
            <w:gridSpan w:val="3"/>
            <w:tcBorders>
              <w:top w:val="single" w:sz="8" w:space="0" w:color="000000"/>
              <w:left w:val="nil"/>
              <w:bottom w:val="nil"/>
              <w:right w:val="nil"/>
            </w:tcBorders>
            <w:tcMar>
              <w:top w:w="0" w:type="dxa"/>
              <w:left w:w="0" w:type="dxa"/>
              <w:bottom w:w="0" w:type="dxa"/>
              <w:right w:w="0" w:type="dxa"/>
            </w:tcMar>
            <w:vAlign w:val="bottom"/>
          </w:tcPr>
          <w:p w:rsidR="006B353C" w:rsidRDefault="006B353C">
            <w:pPr>
              <w:keepNext/>
            </w:pPr>
          </w:p>
        </w:tc>
        <w:tc>
          <w:tcPr>
            <w:tcW w:w="75" w:type="dxa"/>
            <w:tcBorders>
              <w:top w:val="nil"/>
              <w:left w:val="nil"/>
              <w:bottom w:val="nil"/>
              <w:right w:val="nil"/>
            </w:tcBorders>
            <w:tcMar>
              <w:top w:w="0" w:type="dxa"/>
              <w:left w:w="0" w:type="dxa"/>
              <w:bottom w:w="0" w:type="dxa"/>
              <w:right w:w="0" w:type="dxa"/>
            </w:tcMar>
            <w:vAlign w:val="bottom"/>
          </w:tcPr>
          <w:p w:rsidR="006B353C" w:rsidRDefault="006B353C">
            <w:pPr>
              <w:keepNext/>
            </w:pPr>
          </w:p>
        </w:tc>
        <w:tc>
          <w:tcPr>
            <w:tcW w:w="1125" w:type="dxa"/>
            <w:gridSpan w:val="3"/>
            <w:tcBorders>
              <w:top w:val="single" w:sz="8" w:space="0" w:color="000000"/>
              <w:left w:val="nil"/>
              <w:bottom w:val="nil"/>
              <w:right w:val="nil"/>
            </w:tcBorders>
            <w:tcMar>
              <w:top w:w="0" w:type="dxa"/>
              <w:left w:w="0" w:type="dxa"/>
              <w:bottom w:w="0" w:type="dxa"/>
              <w:right w:w="0" w:type="dxa"/>
            </w:tcMar>
            <w:vAlign w:val="bottom"/>
          </w:tcPr>
          <w:p w:rsidR="006B353C" w:rsidRDefault="006B353C">
            <w:pPr>
              <w:keepNext/>
            </w:pPr>
          </w:p>
        </w:tc>
      </w:tr>
      <w:tr w:rsidR="006B353C">
        <w:trPr>
          <w:cantSplit/>
          <w:trHeight w:hRule="exact" w:val="31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rsidR="006B353C" w:rsidRDefault="002D356F">
            <w:pPr>
              <w:keepNext/>
              <w:spacing w:before="75" w:after="30" w:line="200" w:lineRule="auto"/>
            </w:pPr>
            <w:r>
              <w:rPr>
                <w:b/>
                <w:color w:val="000000"/>
                <w:sz w:val="20"/>
              </w:rPr>
              <w:t>Net income applicable to Piedmont</w:t>
            </w:r>
          </w:p>
        </w:tc>
        <w:tc>
          <w:tcPr>
            <w:tcW w:w="100" w:type="dxa"/>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pPr>
            <w:r>
              <w:rPr>
                <w:b/>
                <w:color w:val="000000"/>
                <w:sz w:val="20"/>
              </w:rPr>
              <w:t>$</w:t>
            </w:r>
          </w:p>
        </w:tc>
        <w:tc>
          <w:tcPr>
            <w:tcW w:w="925" w:type="dxa"/>
            <w:tcBorders>
              <w:top w:val="nil"/>
              <w:left w:val="nil"/>
              <w:bottom w:val="nil"/>
              <w:right w:val="nil"/>
            </w:tcBorders>
            <w:shd w:val="clear" w:color="auto" w:fill="CCEEFF"/>
            <w:tcMar>
              <w:top w:w="0" w:type="dxa"/>
              <w:left w:w="0" w:type="dxa"/>
              <w:bottom w:w="0" w:type="dxa"/>
              <w:right w:w="0" w:type="dxa"/>
            </w:tcMar>
            <w:vAlign w:val="bottom"/>
          </w:tcPr>
          <w:p w:rsidR="006B353C" w:rsidRDefault="002D356F">
            <w:pPr>
              <w:keepNext/>
              <w:spacing w:before="75" w:after="30" w:line="200" w:lineRule="auto"/>
              <w:jc w:val="right"/>
            </w:pPr>
            <w:r>
              <w:rPr>
                <w:b/>
                <w:color w:val="000000"/>
                <w:sz w:val="20"/>
              </w:rPr>
              <w:t>8,709 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00" w:type="dxa"/>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pPr>
            <w:r>
              <w:rPr>
                <w:b/>
                <w:color w:val="000000"/>
                <w:sz w:val="20"/>
              </w:rPr>
              <w:t>$</w:t>
            </w:r>
          </w:p>
        </w:tc>
        <w:tc>
          <w:tcPr>
            <w:tcW w:w="865" w:type="dxa"/>
            <w:tcBorders>
              <w:top w:val="nil"/>
              <w:left w:val="nil"/>
              <w:bottom w:val="nil"/>
              <w:right w:val="nil"/>
            </w:tcBorders>
            <w:shd w:val="clear" w:color="auto" w:fill="CCEEFF"/>
            <w:tcMar>
              <w:top w:w="0" w:type="dxa"/>
              <w:left w:w="0" w:type="dxa"/>
              <w:bottom w:w="0" w:type="dxa"/>
              <w:right w:w="0" w:type="dxa"/>
            </w:tcMar>
            <w:vAlign w:val="bottom"/>
          </w:tcPr>
          <w:p w:rsidR="006B353C" w:rsidRDefault="002D356F">
            <w:pPr>
              <w:keepNext/>
              <w:spacing w:before="75" w:after="30" w:line="200" w:lineRule="auto"/>
              <w:jc w:val="right"/>
            </w:pPr>
            <w:r>
              <w:rPr>
                <w:b/>
                <w:color w:val="000000"/>
                <w:sz w:val="20"/>
              </w:rPr>
              <w:t>50,208 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00" w:type="dxa"/>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pPr>
            <w:r>
              <w:rPr>
                <w:b/>
                <w:color w:val="000000"/>
                <w:sz w:val="20"/>
              </w:rPr>
              <w:t>$</w:t>
            </w:r>
          </w:p>
        </w:tc>
        <w:tc>
          <w:tcPr>
            <w:tcW w:w="865" w:type="dxa"/>
            <w:tcBorders>
              <w:top w:val="nil"/>
              <w:left w:val="nil"/>
              <w:bottom w:val="nil"/>
              <w:right w:val="nil"/>
            </w:tcBorders>
            <w:shd w:val="clear" w:color="auto" w:fill="CCEEFF"/>
            <w:tcMar>
              <w:top w:w="0" w:type="dxa"/>
              <w:left w:w="0" w:type="dxa"/>
              <w:bottom w:w="0" w:type="dxa"/>
              <w:right w:w="0" w:type="dxa"/>
            </w:tcMar>
            <w:vAlign w:val="bottom"/>
          </w:tcPr>
          <w:p w:rsidR="006B353C" w:rsidRDefault="002D356F">
            <w:pPr>
              <w:keepNext/>
              <w:spacing w:before="75" w:after="30" w:line="200" w:lineRule="auto"/>
              <w:jc w:val="right"/>
            </w:pPr>
            <w:r>
              <w:rPr>
                <w:b/>
                <w:color w:val="000000"/>
                <w:sz w:val="20"/>
              </w:rPr>
              <w:t>8,709 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00" w:type="dxa"/>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pPr>
            <w:r>
              <w:rPr>
                <w:b/>
                <w:color w:val="000000"/>
                <w:sz w:val="20"/>
              </w:rPr>
              <w:t>$</w:t>
            </w:r>
          </w:p>
        </w:tc>
        <w:tc>
          <w:tcPr>
            <w:tcW w:w="925" w:type="dxa"/>
            <w:tcBorders>
              <w:top w:val="nil"/>
              <w:left w:val="nil"/>
              <w:bottom w:val="nil"/>
              <w:right w:val="nil"/>
            </w:tcBorders>
            <w:shd w:val="clear" w:color="auto" w:fill="CCEEFF"/>
            <w:tcMar>
              <w:top w:w="0" w:type="dxa"/>
              <w:left w:w="0" w:type="dxa"/>
              <w:bottom w:w="0" w:type="dxa"/>
              <w:right w:w="0" w:type="dxa"/>
            </w:tcMar>
            <w:vAlign w:val="bottom"/>
          </w:tcPr>
          <w:p w:rsidR="006B353C" w:rsidRDefault="002D356F">
            <w:pPr>
              <w:keepNext/>
              <w:spacing w:before="75" w:after="30" w:line="200" w:lineRule="auto"/>
              <w:jc w:val="right"/>
            </w:pPr>
            <w:r>
              <w:rPr>
                <w:b/>
                <w:color w:val="000000"/>
                <w:sz w:val="20"/>
              </w:rPr>
              <w:t>50,208 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31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rsidR="006B353C" w:rsidRDefault="002D356F">
            <w:pPr>
              <w:widowControl w:val="0"/>
              <w:spacing w:before="75" w:after="30" w:line="200" w:lineRule="auto"/>
              <w:ind w:left="360"/>
              <w:rPr>
                <w:sz w:val="20"/>
              </w:rPr>
            </w:pPr>
            <w:r>
              <w:rPr>
                <w:sz w:val="20"/>
              </w:rPr>
              <w:t>Net income applicable to noncontrolling interest</w:t>
            </w: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2 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1 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2 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1 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31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rsidR="006B353C" w:rsidRDefault="002D356F">
            <w:pPr>
              <w:widowControl w:val="0"/>
              <w:spacing w:before="75" w:after="30" w:line="200" w:lineRule="auto"/>
              <w:ind w:left="360"/>
              <w:rPr>
                <w:sz w:val="20"/>
              </w:rPr>
            </w:pPr>
            <w:r>
              <w:rPr>
                <w:sz w:val="20"/>
              </w:rPr>
              <w:t>Interest expense</w:t>
            </w: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15,264 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15,493 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15,264 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15,493 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31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rsidR="006B353C" w:rsidRDefault="002D356F">
            <w:pPr>
              <w:widowControl w:val="0"/>
              <w:spacing w:before="75" w:after="30" w:line="200" w:lineRule="auto"/>
              <w:ind w:left="360"/>
              <w:rPr>
                <w:sz w:val="20"/>
              </w:rPr>
            </w:pPr>
            <w:r>
              <w:rPr>
                <w:sz w:val="20"/>
              </w:rPr>
              <w:t xml:space="preserve">Depreciation </w:t>
            </w: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27,877 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26,518 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27,877 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26,518 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31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rsidR="006B353C" w:rsidRDefault="002D356F">
            <w:pPr>
              <w:widowControl w:val="0"/>
              <w:spacing w:before="75" w:after="30" w:line="200" w:lineRule="auto"/>
              <w:ind w:left="360"/>
              <w:rPr>
                <w:sz w:val="20"/>
              </w:rPr>
            </w:pPr>
            <w:r>
              <w:rPr>
                <w:sz w:val="20"/>
              </w:rPr>
              <w:t xml:space="preserve">Amortization </w:t>
            </w: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23,618 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17,685 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23,618 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17,685 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31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rsidR="006B353C" w:rsidRDefault="002D356F">
            <w:pPr>
              <w:widowControl w:val="0"/>
              <w:spacing w:before="75" w:after="30" w:line="200" w:lineRule="auto"/>
              <w:ind w:left="360"/>
              <w:rPr>
                <w:sz w:val="20"/>
              </w:rPr>
            </w:pPr>
            <w:r>
              <w:rPr>
                <w:sz w:val="20"/>
              </w:rPr>
              <w:t>Gain on sale of real estate assets</w:t>
            </w: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(3)</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(37,887)</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(3)</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(37,887)</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31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rsidR="006B353C" w:rsidRDefault="002D356F">
            <w:pPr>
              <w:widowControl w:val="0"/>
              <w:spacing w:before="75" w:after="30" w:line="200" w:lineRule="auto"/>
              <w:ind w:left="180" w:hanging="180"/>
              <w:rPr>
                <w:b/>
                <w:sz w:val="20"/>
              </w:rPr>
            </w:pPr>
            <w:proofErr w:type="spellStart"/>
            <w:r>
              <w:rPr>
                <w:b/>
                <w:sz w:val="20"/>
              </w:rPr>
              <w:t>EBITDAre</w:t>
            </w:r>
            <w:proofErr w:type="spellEnd"/>
            <w:r>
              <w:rPr>
                <w:b/>
                <w:sz w:val="20"/>
              </w:rPr>
              <w:t>*</w:t>
            </w:r>
          </w:p>
        </w:tc>
        <w:tc>
          <w:tcPr>
            <w:tcW w:w="102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55" w:after="30" w:line="200" w:lineRule="auto"/>
              <w:jc w:val="right"/>
            </w:pPr>
            <w:r>
              <w:rPr>
                <w:b/>
                <w:color w:val="000000"/>
                <w:sz w:val="20"/>
              </w:rPr>
              <w:t>75,467 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96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55" w:after="30" w:line="200" w:lineRule="auto"/>
              <w:jc w:val="right"/>
            </w:pPr>
            <w:r>
              <w:rPr>
                <w:b/>
                <w:color w:val="000000"/>
                <w:sz w:val="20"/>
              </w:rPr>
              <w:t>72,018 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96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55" w:after="30" w:line="200" w:lineRule="auto"/>
              <w:jc w:val="right"/>
            </w:pPr>
            <w:r>
              <w:rPr>
                <w:b/>
                <w:color w:val="000000"/>
                <w:sz w:val="20"/>
              </w:rPr>
              <w:t>75,467 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02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55" w:after="30" w:line="200" w:lineRule="auto"/>
              <w:jc w:val="right"/>
            </w:pPr>
            <w:r>
              <w:rPr>
                <w:b/>
                <w:color w:val="000000"/>
                <w:sz w:val="20"/>
              </w:rPr>
              <w:t>72,018 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55" w:after="30" w:line="200" w:lineRule="auto"/>
            </w:pPr>
          </w:p>
        </w:tc>
      </w:tr>
      <w:tr w:rsidR="006B353C">
        <w:trPr>
          <w:cantSplit/>
          <w:trHeight w:hRule="exact" w:val="31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rsidR="006B353C" w:rsidRDefault="002D356F">
            <w:pPr>
              <w:widowControl w:val="0"/>
              <w:spacing w:before="75" w:after="30" w:line="200" w:lineRule="auto"/>
              <w:ind w:left="360"/>
              <w:rPr>
                <w:sz w:val="20"/>
              </w:rPr>
            </w:pPr>
            <w:r>
              <w:rPr>
                <w:sz w:val="20"/>
              </w:rPr>
              <w:t>General &amp; administrative expenses</w:t>
            </w: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8,643 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9,368 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8,643 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9,368 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31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rsidR="006B353C" w:rsidRDefault="002D356F">
            <w:pPr>
              <w:widowControl w:val="0"/>
              <w:spacing w:before="75" w:after="30" w:line="200" w:lineRule="auto"/>
              <w:ind w:left="360"/>
              <w:rPr>
                <w:sz w:val="20"/>
              </w:rPr>
            </w:pPr>
            <w:r>
              <w:rPr>
                <w:sz w:val="20"/>
              </w:rPr>
              <w:t>Management fee revenue</w:t>
            </w: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(395)</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(1,822)</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(395)</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(1,822)</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31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rsidR="006B353C" w:rsidRDefault="002D356F">
            <w:pPr>
              <w:widowControl w:val="0"/>
              <w:spacing w:before="75" w:after="30" w:line="200" w:lineRule="auto"/>
              <w:ind w:left="360"/>
              <w:rPr>
                <w:sz w:val="20"/>
              </w:rPr>
            </w:pPr>
            <w:r>
              <w:rPr>
                <w:sz w:val="20"/>
              </w:rPr>
              <w:t>Other (income)\expense</w:t>
            </w: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67 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(62)</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67 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(62)</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31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rsidR="006B353C" w:rsidRDefault="002D356F">
            <w:pPr>
              <w:widowControl w:val="0"/>
              <w:spacing w:before="75" w:after="30" w:line="200" w:lineRule="auto"/>
              <w:ind w:left="360"/>
              <w:rPr>
                <w:sz w:val="20"/>
              </w:rPr>
            </w:pPr>
            <w:r>
              <w:rPr>
                <w:sz w:val="20"/>
              </w:rPr>
              <w:t xml:space="preserve">Straight line effects of lease revenue </w:t>
            </w: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(6,785)</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(2,683)</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065" w:type="dxa"/>
            <w:gridSpan w:val="3"/>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125" w:type="dxa"/>
            <w:gridSpan w:val="3"/>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r>
      <w:tr w:rsidR="006B353C">
        <w:trPr>
          <w:cantSplit/>
          <w:trHeight w:hRule="exact" w:val="31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rsidR="006B353C" w:rsidRDefault="002D356F">
            <w:pPr>
              <w:widowControl w:val="0"/>
              <w:spacing w:before="75" w:after="30" w:line="200" w:lineRule="auto"/>
              <w:ind w:left="630" w:hanging="270"/>
              <w:rPr>
                <w:sz w:val="20"/>
              </w:rPr>
            </w:pPr>
            <w:r>
              <w:rPr>
                <w:sz w:val="20"/>
              </w:rPr>
              <w:t>Amortization of lease-related intangibles</w:t>
            </w: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(2,973)</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(1,998)</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065" w:type="dxa"/>
            <w:gridSpan w:val="3"/>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125" w:type="dxa"/>
            <w:gridSpan w:val="3"/>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r>
      <w:tr w:rsidR="006B353C">
        <w:trPr>
          <w:cantSplit/>
          <w:trHeight w:hRule="exact" w:val="31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rsidR="006B353C" w:rsidRDefault="002D356F">
            <w:pPr>
              <w:keepNext/>
              <w:spacing w:before="75" w:after="30" w:line="200" w:lineRule="auto"/>
            </w:pPr>
            <w:r>
              <w:rPr>
                <w:b/>
                <w:color w:val="000000"/>
                <w:sz w:val="20"/>
              </w:rPr>
              <w:t>Property NOI*</w:t>
            </w:r>
          </w:p>
        </w:tc>
        <w:tc>
          <w:tcPr>
            <w:tcW w:w="102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55" w:after="30" w:line="200" w:lineRule="auto"/>
              <w:jc w:val="right"/>
            </w:pPr>
            <w:r>
              <w:rPr>
                <w:b/>
                <w:color w:val="000000"/>
                <w:sz w:val="20"/>
              </w:rPr>
              <w:t>74,024 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96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55" w:after="30" w:line="200" w:lineRule="auto"/>
              <w:jc w:val="right"/>
            </w:pPr>
            <w:r>
              <w:rPr>
                <w:b/>
                <w:color w:val="000000"/>
                <w:sz w:val="20"/>
              </w:rPr>
              <w:t>74,821 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96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55" w:after="30" w:line="200" w:lineRule="auto"/>
              <w:jc w:val="right"/>
            </w:pPr>
            <w:r>
              <w:rPr>
                <w:b/>
                <w:color w:val="000000"/>
                <w:sz w:val="20"/>
              </w:rPr>
              <w:t>83,782 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5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025" w:type="dxa"/>
            <w:gridSpan w:val="2"/>
            <w:tcBorders>
              <w:top w:val="single" w:sz="8" w:space="0" w:color="000000"/>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55" w:after="30" w:line="200" w:lineRule="auto"/>
              <w:jc w:val="right"/>
            </w:pPr>
            <w:r>
              <w:rPr>
                <w:b/>
                <w:color w:val="000000"/>
                <w:sz w:val="20"/>
              </w:rPr>
              <w:t>79,502 </w:t>
            </w:r>
          </w:p>
        </w:tc>
        <w:tc>
          <w:tcPr>
            <w:tcW w:w="1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55" w:after="30" w:line="200" w:lineRule="auto"/>
            </w:pPr>
          </w:p>
        </w:tc>
      </w:tr>
      <w:tr w:rsidR="006B353C">
        <w:trPr>
          <w:cantSplit/>
          <w:trHeight w:hRule="exact" w:val="31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rsidR="006B353C" w:rsidRDefault="002D356F">
            <w:pPr>
              <w:keepNext/>
              <w:spacing w:before="75" w:after="30" w:line="200" w:lineRule="auto"/>
            </w:pPr>
            <w:r>
              <w:rPr>
                <w:color w:val="000000"/>
                <w:sz w:val="20"/>
              </w:rPr>
              <w:t>Net operating income from:</w:t>
            </w:r>
          </w:p>
        </w:tc>
        <w:tc>
          <w:tcPr>
            <w:tcW w:w="1125" w:type="dxa"/>
            <w:gridSpan w:val="3"/>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065" w:type="dxa"/>
            <w:gridSpan w:val="3"/>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065" w:type="dxa"/>
            <w:gridSpan w:val="3"/>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125" w:type="dxa"/>
            <w:gridSpan w:val="3"/>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r>
      <w:tr w:rsidR="006B353C">
        <w:trPr>
          <w:cantSplit/>
          <w:trHeight w:hRule="exact" w:val="31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rsidR="006B353C" w:rsidRDefault="002D356F">
            <w:pPr>
              <w:widowControl w:val="0"/>
              <w:spacing w:before="75" w:after="30" w:line="200" w:lineRule="auto"/>
              <w:ind w:left="360"/>
              <w:rPr>
                <w:sz w:val="20"/>
              </w:rPr>
            </w:pPr>
            <w:r>
              <w:rPr>
                <w:sz w:val="20"/>
              </w:rPr>
              <w:t>Acquisitions</w:t>
            </w: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(8,105)</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(10,268)</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 </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31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rsidR="006B353C" w:rsidRDefault="002D356F">
            <w:pPr>
              <w:widowControl w:val="0"/>
              <w:spacing w:before="75" w:after="30" w:line="200" w:lineRule="auto"/>
              <w:ind w:left="360"/>
              <w:rPr>
                <w:sz w:val="20"/>
              </w:rPr>
            </w:pPr>
            <w:r>
              <w:rPr>
                <w:sz w:val="20"/>
              </w:rPr>
              <w:t>Dispositions</w:t>
            </w: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267 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(10,089)</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965"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267 </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025" w:type="dxa"/>
            <w:gridSpan w:val="2"/>
            <w:tcBorders>
              <w:top w:val="nil"/>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(8,675)</w:t>
            </w:r>
          </w:p>
        </w:tc>
        <w:tc>
          <w:tcPr>
            <w:tcW w:w="100" w:type="dxa"/>
            <w:tcBorders>
              <w:top w:val="nil"/>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31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rsidR="006B353C" w:rsidRDefault="002D356F">
            <w:pPr>
              <w:spacing w:before="75" w:after="30" w:line="200" w:lineRule="auto"/>
              <w:ind w:left="360"/>
              <w:outlineLvl w:val="0"/>
              <w:rPr>
                <w:sz w:val="20"/>
              </w:rPr>
            </w:pPr>
            <w:r>
              <w:rPr>
                <w:sz w:val="20"/>
              </w:rPr>
              <w:t>Other investments</w:t>
            </w:r>
            <w:r>
              <w:rPr>
                <w:sz w:val="20"/>
                <w:vertAlign w:val="superscript"/>
              </w:rPr>
              <w:t>(1)</w:t>
            </w: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(82)</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(39)</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965"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(62)</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pPr>
              <w:keepNext/>
            </w:pPr>
          </w:p>
        </w:tc>
        <w:tc>
          <w:tcPr>
            <w:tcW w:w="1025" w:type="dxa"/>
            <w:gridSpan w:val="2"/>
            <w:tcBorders>
              <w:top w:val="nil"/>
              <w:left w:val="nil"/>
              <w:bottom w:val="nil"/>
              <w:right w:val="nil"/>
            </w:tcBorders>
            <w:shd w:val="clear" w:color="auto" w:fill="CCEEFF"/>
            <w:tcMar>
              <w:top w:w="0" w:type="dxa"/>
              <w:left w:w="53" w:type="dxa"/>
              <w:bottom w:w="0" w:type="dxa"/>
              <w:right w:w="0" w:type="dxa"/>
            </w:tcMar>
            <w:vAlign w:val="bottom"/>
          </w:tcPr>
          <w:p w:rsidR="006B353C" w:rsidRDefault="002D356F">
            <w:pPr>
              <w:keepNext/>
              <w:spacing w:before="75" w:after="30" w:line="200" w:lineRule="auto"/>
              <w:jc w:val="right"/>
            </w:pPr>
            <w:r>
              <w:rPr>
                <w:color w:val="000000"/>
                <w:sz w:val="20"/>
              </w:rPr>
              <w:t>(50)</w:t>
            </w:r>
          </w:p>
        </w:tc>
        <w:tc>
          <w:tcPr>
            <w:tcW w:w="100" w:type="dxa"/>
            <w:tcBorders>
              <w:top w:val="nil"/>
              <w:left w:val="nil"/>
              <w:bottom w:val="nil"/>
              <w:right w:val="nil"/>
            </w:tcBorders>
            <w:shd w:val="clear" w:color="auto" w:fill="CCEEFF"/>
            <w:tcMar>
              <w:top w:w="0" w:type="dxa"/>
              <w:left w:w="0" w:type="dxa"/>
              <w:bottom w:w="0" w:type="dxa"/>
              <w:right w:w="15" w:type="dxa"/>
            </w:tcMar>
            <w:vAlign w:val="bottom"/>
          </w:tcPr>
          <w:p w:rsidR="006B353C" w:rsidRDefault="006B353C">
            <w:pPr>
              <w:keepNext/>
              <w:spacing w:before="75" w:after="30" w:line="200" w:lineRule="auto"/>
            </w:pPr>
          </w:p>
        </w:tc>
      </w:tr>
      <w:tr w:rsidR="006B353C">
        <w:trPr>
          <w:cantSplit/>
          <w:trHeight w:hRule="exact" w:val="315"/>
        </w:trPr>
        <w:tc>
          <w:tcPr>
            <w:tcW w:w="4785" w:type="dxa"/>
            <w:tcBorders>
              <w:top w:val="nil"/>
              <w:left w:val="nil"/>
              <w:bottom w:val="nil"/>
              <w:right w:val="nil"/>
            </w:tcBorders>
            <w:shd w:val="clear" w:color="auto" w:fill="FFFFFF"/>
            <w:tcMar>
              <w:top w:w="0" w:type="dxa"/>
              <w:left w:w="53" w:type="dxa"/>
              <w:bottom w:w="0" w:type="dxa"/>
              <w:right w:w="53" w:type="dxa"/>
            </w:tcMar>
            <w:vAlign w:val="bottom"/>
          </w:tcPr>
          <w:p w:rsidR="006B353C" w:rsidRDefault="002D356F">
            <w:pPr>
              <w:keepNext/>
              <w:spacing w:before="75" w:after="30" w:line="200" w:lineRule="auto"/>
            </w:pPr>
            <w:r>
              <w:rPr>
                <w:b/>
                <w:color w:val="000000"/>
                <w:sz w:val="20"/>
              </w:rPr>
              <w:t>Same Store NOI *</w:t>
            </w:r>
          </w:p>
        </w:tc>
        <w:tc>
          <w:tcPr>
            <w:tcW w:w="100" w:type="dxa"/>
            <w:tcBorders>
              <w:top w:val="single" w:sz="8" w:space="0" w:color="000000"/>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55" w:after="30" w:line="200" w:lineRule="auto"/>
            </w:pPr>
            <w:r>
              <w:rPr>
                <w:b/>
                <w:color w:val="000000"/>
                <w:sz w:val="20"/>
              </w:rPr>
              <w:t>$</w:t>
            </w:r>
          </w:p>
        </w:tc>
        <w:tc>
          <w:tcPr>
            <w:tcW w:w="925" w:type="dxa"/>
            <w:tcBorders>
              <w:top w:val="single" w:sz="8" w:space="0" w:color="000000"/>
              <w:left w:val="nil"/>
              <w:bottom w:val="nil"/>
              <w:right w:val="nil"/>
            </w:tcBorders>
            <w:shd w:val="clear" w:color="auto" w:fill="FFFFFF"/>
            <w:tcMar>
              <w:top w:w="0" w:type="dxa"/>
              <w:left w:w="0" w:type="dxa"/>
              <w:bottom w:w="0" w:type="dxa"/>
              <w:right w:w="0" w:type="dxa"/>
            </w:tcMar>
            <w:vAlign w:val="bottom"/>
          </w:tcPr>
          <w:p w:rsidR="006B353C" w:rsidRDefault="002D356F">
            <w:pPr>
              <w:keepNext/>
              <w:spacing w:before="55" w:after="30" w:line="200" w:lineRule="auto"/>
              <w:jc w:val="right"/>
            </w:pPr>
            <w:r>
              <w:rPr>
                <w:b/>
                <w:color w:val="000000"/>
                <w:sz w:val="20"/>
              </w:rPr>
              <w:t>66,104 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00" w:type="dxa"/>
            <w:tcBorders>
              <w:top w:val="single" w:sz="8" w:space="0" w:color="000000"/>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55" w:after="30" w:line="200" w:lineRule="auto"/>
            </w:pPr>
            <w:r>
              <w:rPr>
                <w:b/>
                <w:color w:val="000000"/>
                <w:sz w:val="20"/>
              </w:rPr>
              <w:t>$</w:t>
            </w:r>
          </w:p>
        </w:tc>
        <w:tc>
          <w:tcPr>
            <w:tcW w:w="865" w:type="dxa"/>
            <w:tcBorders>
              <w:top w:val="single" w:sz="8" w:space="0" w:color="000000"/>
              <w:left w:val="nil"/>
              <w:bottom w:val="nil"/>
              <w:right w:val="nil"/>
            </w:tcBorders>
            <w:shd w:val="clear" w:color="auto" w:fill="FFFFFF"/>
            <w:tcMar>
              <w:top w:w="0" w:type="dxa"/>
              <w:left w:w="0" w:type="dxa"/>
              <w:bottom w:w="0" w:type="dxa"/>
              <w:right w:w="0" w:type="dxa"/>
            </w:tcMar>
            <w:vAlign w:val="bottom"/>
          </w:tcPr>
          <w:p w:rsidR="006B353C" w:rsidRDefault="002D356F">
            <w:pPr>
              <w:keepNext/>
              <w:spacing w:before="55" w:after="30" w:line="200" w:lineRule="auto"/>
              <w:jc w:val="right"/>
            </w:pPr>
            <w:r>
              <w:rPr>
                <w:b/>
                <w:color w:val="000000"/>
                <w:sz w:val="20"/>
              </w:rPr>
              <w:t>64,693 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00" w:type="dxa"/>
            <w:tcBorders>
              <w:top w:val="single" w:sz="8" w:space="0" w:color="000000"/>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55" w:after="30" w:line="200" w:lineRule="auto"/>
            </w:pPr>
            <w:r>
              <w:rPr>
                <w:b/>
                <w:color w:val="000000"/>
                <w:sz w:val="20"/>
              </w:rPr>
              <w:t>$</w:t>
            </w:r>
          </w:p>
        </w:tc>
        <w:tc>
          <w:tcPr>
            <w:tcW w:w="865" w:type="dxa"/>
            <w:tcBorders>
              <w:top w:val="single" w:sz="8" w:space="0" w:color="000000"/>
              <w:left w:val="nil"/>
              <w:bottom w:val="nil"/>
              <w:right w:val="nil"/>
            </w:tcBorders>
            <w:shd w:val="clear" w:color="auto" w:fill="FFFFFF"/>
            <w:tcMar>
              <w:top w:w="0" w:type="dxa"/>
              <w:left w:w="0" w:type="dxa"/>
              <w:bottom w:w="0" w:type="dxa"/>
              <w:right w:w="0" w:type="dxa"/>
            </w:tcMar>
            <w:vAlign w:val="bottom"/>
          </w:tcPr>
          <w:p w:rsidR="006B353C" w:rsidRDefault="002D356F">
            <w:pPr>
              <w:keepNext/>
              <w:spacing w:before="55" w:after="30" w:line="200" w:lineRule="auto"/>
              <w:jc w:val="right"/>
            </w:pPr>
            <w:r>
              <w:rPr>
                <w:b/>
                <w:color w:val="000000"/>
                <w:sz w:val="20"/>
              </w:rPr>
              <w:t>73,719 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55" w:after="30" w:line="200" w:lineRule="auto"/>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rsidR="006B353C" w:rsidRDefault="006B353C">
            <w:pPr>
              <w:keepNext/>
            </w:pPr>
          </w:p>
        </w:tc>
        <w:tc>
          <w:tcPr>
            <w:tcW w:w="100" w:type="dxa"/>
            <w:tcBorders>
              <w:top w:val="single" w:sz="8" w:space="0" w:color="000000"/>
              <w:left w:val="nil"/>
              <w:bottom w:val="nil"/>
              <w:right w:val="nil"/>
            </w:tcBorders>
            <w:shd w:val="clear" w:color="auto" w:fill="FFFFFF"/>
            <w:tcMar>
              <w:top w:w="0" w:type="dxa"/>
              <w:left w:w="53" w:type="dxa"/>
              <w:bottom w:w="0" w:type="dxa"/>
              <w:right w:w="0" w:type="dxa"/>
            </w:tcMar>
            <w:vAlign w:val="bottom"/>
          </w:tcPr>
          <w:p w:rsidR="006B353C" w:rsidRDefault="002D356F">
            <w:pPr>
              <w:keepNext/>
              <w:spacing w:before="55" w:after="30" w:line="200" w:lineRule="auto"/>
            </w:pPr>
            <w:r>
              <w:rPr>
                <w:b/>
                <w:color w:val="000000"/>
                <w:sz w:val="20"/>
              </w:rPr>
              <w:t>$</w:t>
            </w:r>
          </w:p>
        </w:tc>
        <w:tc>
          <w:tcPr>
            <w:tcW w:w="925" w:type="dxa"/>
            <w:tcBorders>
              <w:top w:val="single" w:sz="8" w:space="0" w:color="000000"/>
              <w:left w:val="nil"/>
              <w:bottom w:val="nil"/>
              <w:right w:val="nil"/>
            </w:tcBorders>
            <w:shd w:val="clear" w:color="auto" w:fill="FFFFFF"/>
            <w:tcMar>
              <w:top w:w="0" w:type="dxa"/>
              <w:left w:w="0" w:type="dxa"/>
              <w:bottom w:w="0" w:type="dxa"/>
              <w:right w:w="0" w:type="dxa"/>
            </w:tcMar>
            <w:vAlign w:val="bottom"/>
          </w:tcPr>
          <w:p w:rsidR="006B353C" w:rsidRDefault="002D356F">
            <w:pPr>
              <w:keepNext/>
              <w:spacing w:before="55" w:after="30" w:line="200" w:lineRule="auto"/>
              <w:jc w:val="right"/>
            </w:pPr>
            <w:r>
              <w:rPr>
                <w:b/>
                <w:color w:val="000000"/>
                <w:sz w:val="20"/>
              </w:rPr>
              <w:t>70,777 </w:t>
            </w:r>
          </w:p>
        </w:tc>
        <w:tc>
          <w:tcPr>
            <w:tcW w:w="1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rsidR="006B353C" w:rsidRDefault="006B353C">
            <w:pPr>
              <w:keepNext/>
              <w:spacing w:before="55" w:after="30" w:line="200" w:lineRule="auto"/>
            </w:pPr>
          </w:p>
        </w:tc>
      </w:tr>
      <w:tr w:rsidR="006B353C">
        <w:trPr>
          <w:cantSplit/>
          <w:trHeight w:hRule="exact" w:val="315"/>
        </w:trPr>
        <w:tc>
          <w:tcPr>
            <w:tcW w:w="4785" w:type="dxa"/>
            <w:tcBorders>
              <w:top w:val="nil"/>
              <w:left w:val="nil"/>
              <w:bottom w:val="nil"/>
              <w:right w:val="nil"/>
            </w:tcBorders>
            <w:shd w:val="clear" w:color="auto" w:fill="CCEEFF"/>
            <w:tcMar>
              <w:top w:w="0" w:type="dxa"/>
              <w:left w:w="53" w:type="dxa"/>
              <w:bottom w:w="0" w:type="dxa"/>
              <w:right w:w="53" w:type="dxa"/>
            </w:tcMar>
            <w:vAlign w:val="bottom"/>
          </w:tcPr>
          <w:p w:rsidR="006B353C" w:rsidRDefault="002D356F">
            <w:pPr>
              <w:spacing w:before="75" w:after="30" w:line="200" w:lineRule="auto"/>
            </w:pPr>
            <w:r>
              <w:rPr>
                <w:i/>
                <w:color w:val="000000"/>
                <w:sz w:val="20"/>
              </w:rPr>
              <w:t>Change period over per</w:t>
            </w:r>
            <w:r>
              <w:rPr>
                <w:i/>
                <w:color w:val="000000"/>
                <w:sz w:val="20"/>
              </w:rPr>
              <w:t>iod in Same Store NOI</w:t>
            </w:r>
          </w:p>
        </w:tc>
        <w:tc>
          <w:tcPr>
            <w:tcW w:w="1025" w:type="dxa"/>
            <w:gridSpan w:val="2"/>
            <w:tcBorders>
              <w:top w:val="double" w:sz="8" w:space="0" w:color="000000"/>
              <w:left w:val="nil"/>
              <w:bottom w:val="nil"/>
              <w:right w:val="nil"/>
            </w:tcBorders>
            <w:shd w:val="clear" w:color="auto" w:fill="CCEEFF"/>
            <w:tcMar>
              <w:top w:w="0" w:type="dxa"/>
              <w:left w:w="53" w:type="dxa"/>
              <w:bottom w:w="0" w:type="dxa"/>
              <w:right w:w="0" w:type="dxa"/>
            </w:tcMar>
            <w:vAlign w:val="bottom"/>
          </w:tcPr>
          <w:p w:rsidR="006B353C" w:rsidRDefault="002D356F">
            <w:pPr>
              <w:spacing w:before="55" w:after="30" w:line="200" w:lineRule="auto"/>
              <w:jc w:val="right"/>
            </w:pPr>
            <w:r>
              <w:rPr>
                <w:i/>
                <w:color w:val="000000"/>
                <w:sz w:val="20"/>
              </w:rPr>
              <w:t>2.2 </w:t>
            </w:r>
          </w:p>
        </w:tc>
        <w:tc>
          <w:tcPr>
            <w:tcW w:w="100" w:type="dxa"/>
            <w:tcBorders>
              <w:top w:val="double" w:sz="8" w:space="0" w:color="000000"/>
              <w:left w:val="nil"/>
              <w:bottom w:val="nil"/>
              <w:right w:val="nil"/>
            </w:tcBorders>
            <w:shd w:val="clear" w:color="auto" w:fill="CCEEFF"/>
            <w:tcMar>
              <w:top w:w="0" w:type="dxa"/>
              <w:left w:w="0" w:type="dxa"/>
              <w:bottom w:w="0" w:type="dxa"/>
              <w:right w:w="15" w:type="dxa"/>
            </w:tcMar>
            <w:vAlign w:val="bottom"/>
          </w:tcPr>
          <w:p w:rsidR="006B353C" w:rsidRDefault="002D356F">
            <w:pPr>
              <w:spacing w:before="55" w:after="30" w:line="200" w:lineRule="auto"/>
            </w:pPr>
            <w:r>
              <w:rPr>
                <w:i/>
                <w:color w:val="000000"/>
                <w:sz w:val="20"/>
              </w:rPr>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tc>
        <w:tc>
          <w:tcPr>
            <w:tcW w:w="1065" w:type="dxa"/>
            <w:gridSpan w:val="3"/>
            <w:tcBorders>
              <w:top w:val="double" w:sz="8" w:space="0" w:color="000000"/>
              <w:left w:val="nil"/>
              <w:bottom w:val="nil"/>
              <w:right w:val="nil"/>
            </w:tcBorders>
            <w:shd w:val="clear" w:color="auto" w:fill="CCEEFF"/>
            <w:tcMar>
              <w:top w:w="0" w:type="dxa"/>
              <w:left w:w="53" w:type="dxa"/>
              <w:bottom w:w="0" w:type="dxa"/>
              <w:right w:w="53" w:type="dxa"/>
            </w:tcMar>
            <w:vAlign w:val="bottom"/>
          </w:tcPr>
          <w:p w:rsidR="006B353C" w:rsidRDefault="002D356F">
            <w:pPr>
              <w:spacing w:before="55" w:after="30" w:line="200" w:lineRule="auto"/>
              <w:jc w:val="right"/>
            </w:pPr>
            <w:r>
              <w:rPr>
                <w:i/>
                <w:color w:val="000000"/>
                <w:sz w:val="20"/>
              </w:rPr>
              <w:t>N/A</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tc>
        <w:tc>
          <w:tcPr>
            <w:tcW w:w="965" w:type="dxa"/>
            <w:gridSpan w:val="2"/>
            <w:tcBorders>
              <w:top w:val="double" w:sz="8" w:space="0" w:color="000000"/>
              <w:left w:val="nil"/>
              <w:bottom w:val="nil"/>
              <w:right w:val="nil"/>
            </w:tcBorders>
            <w:shd w:val="clear" w:color="auto" w:fill="CCEEFF"/>
            <w:tcMar>
              <w:top w:w="0" w:type="dxa"/>
              <w:left w:w="53" w:type="dxa"/>
              <w:bottom w:w="0" w:type="dxa"/>
              <w:right w:w="0" w:type="dxa"/>
            </w:tcMar>
            <w:vAlign w:val="bottom"/>
          </w:tcPr>
          <w:p w:rsidR="006B353C" w:rsidRDefault="002D356F">
            <w:pPr>
              <w:spacing w:before="55" w:after="30" w:line="200" w:lineRule="auto"/>
              <w:jc w:val="right"/>
            </w:pPr>
            <w:r>
              <w:rPr>
                <w:i/>
                <w:color w:val="000000"/>
                <w:sz w:val="20"/>
              </w:rPr>
              <w:t>4.2 </w:t>
            </w:r>
          </w:p>
        </w:tc>
        <w:tc>
          <w:tcPr>
            <w:tcW w:w="100" w:type="dxa"/>
            <w:tcBorders>
              <w:top w:val="double" w:sz="8" w:space="0" w:color="000000"/>
              <w:left w:val="nil"/>
              <w:bottom w:val="nil"/>
              <w:right w:val="nil"/>
            </w:tcBorders>
            <w:shd w:val="clear" w:color="auto" w:fill="CCEEFF"/>
            <w:tcMar>
              <w:top w:w="0" w:type="dxa"/>
              <w:left w:w="0" w:type="dxa"/>
              <w:bottom w:w="0" w:type="dxa"/>
              <w:right w:w="15" w:type="dxa"/>
            </w:tcMar>
            <w:vAlign w:val="bottom"/>
          </w:tcPr>
          <w:p w:rsidR="006B353C" w:rsidRDefault="002D356F">
            <w:pPr>
              <w:spacing w:before="55" w:after="30" w:line="200" w:lineRule="auto"/>
            </w:pPr>
            <w:r>
              <w:rPr>
                <w:i/>
                <w:color w:val="000000"/>
                <w:sz w:val="20"/>
              </w:rPr>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rsidR="006B353C" w:rsidRDefault="006B353C"/>
        </w:tc>
        <w:tc>
          <w:tcPr>
            <w:tcW w:w="1125" w:type="dxa"/>
            <w:gridSpan w:val="3"/>
            <w:tcBorders>
              <w:top w:val="double" w:sz="8" w:space="0" w:color="000000"/>
              <w:left w:val="nil"/>
              <w:bottom w:val="nil"/>
              <w:right w:val="nil"/>
            </w:tcBorders>
            <w:shd w:val="clear" w:color="auto" w:fill="CCEEFF"/>
            <w:tcMar>
              <w:top w:w="0" w:type="dxa"/>
              <w:left w:w="53" w:type="dxa"/>
              <w:bottom w:w="0" w:type="dxa"/>
              <w:right w:w="53" w:type="dxa"/>
            </w:tcMar>
            <w:vAlign w:val="bottom"/>
          </w:tcPr>
          <w:p w:rsidR="006B353C" w:rsidRDefault="002D356F">
            <w:pPr>
              <w:spacing w:before="55" w:after="30" w:line="200" w:lineRule="auto"/>
              <w:jc w:val="right"/>
            </w:pPr>
            <w:r>
              <w:rPr>
                <w:i/>
                <w:color w:val="000000"/>
                <w:sz w:val="20"/>
              </w:rPr>
              <w:t>N/A</w:t>
            </w:r>
          </w:p>
        </w:tc>
      </w:tr>
    </w:tbl>
    <w:p w:rsidR="006B353C" w:rsidRDefault="006B353C">
      <w:pPr>
        <w:spacing w:before="120"/>
        <w:rPr>
          <w:i/>
          <w:sz w:val="20"/>
          <w:vertAlign w:val="superscript"/>
        </w:rPr>
      </w:pPr>
    </w:p>
    <w:p w:rsidR="006B353C" w:rsidRDefault="002D356F">
      <w:pPr>
        <w:rPr>
          <w:i/>
          <w:sz w:val="20"/>
          <w:vertAlign w:val="superscript"/>
        </w:rPr>
      </w:pPr>
      <w:r>
        <w:rPr>
          <w:i/>
          <w:sz w:val="20"/>
          <w:vertAlign w:val="superscript"/>
        </w:rPr>
        <w:t>(1)</w:t>
      </w:r>
      <w:r>
        <w:rPr>
          <w:i/>
          <w:sz w:val="20"/>
        </w:rPr>
        <w:t xml:space="preserve">Other investments consist of our investments in active redevelopment and development projects, land, and recently </w:t>
      </w:r>
      <w:r>
        <w:rPr>
          <w:i/>
          <w:sz w:val="20"/>
        </w:rPr>
        <w:t>completed redevelopment and development projects for which some portion of operating expenses were capitalized during the current or prior reporting periods. The operating results from Two Pierce Place in Itasca, IL are included in this line item.</w:t>
      </w:r>
    </w:p>
    <w:p w:rsidR="006B353C" w:rsidRDefault="002D356F">
      <w:pPr>
        <w:pageBreakBefore/>
        <w:rPr>
          <w:rFonts w:ascii="Arial" w:eastAsia="Arial" w:hAnsi="Arial" w:cs="Arial"/>
          <w:b/>
          <w:sz w:val="16"/>
        </w:rPr>
      </w:pPr>
      <w:r>
        <w:rPr>
          <w:rFonts w:ascii="Arial" w:eastAsia="Arial" w:hAnsi="Arial" w:cs="Arial"/>
          <w:b/>
          <w:sz w:val="16"/>
        </w:rPr>
        <w:lastRenderedPageBreak/>
        <w:t>*Definit</w:t>
      </w:r>
      <w:r>
        <w:rPr>
          <w:rFonts w:ascii="Arial" w:eastAsia="Arial" w:hAnsi="Arial" w:cs="Arial"/>
          <w:b/>
          <w:sz w:val="16"/>
        </w:rPr>
        <w:t>ions:</w:t>
      </w:r>
    </w:p>
    <w:p w:rsidR="006B353C" w:rsidRDefault="006B353C">
      <w:pPr>
        <w:rPr>
          <w:rFonts w:ascii="Arial" w:eastAsia="Arial" w:hAnsi="Arial" w:cs="Arial"/>
          <w:b/>
          <w:sz w:val="16"/>
        </w:rPr>
      </w:pPr>
    </w:p>
    <w:p w:rsidR="006B353C" w:rsidRDefault="002D356F">
      <w:pPr>
        <w:rPr>
          <w:rFonts w:ascii="Arial" w:eastAsia="Arial" w:hAnsi="Arial" w:cs="Arial"/>
          <w:b/>
          <w:sz w:val="16"/>
        </w:rPr>
      </w:pPr>
      <w:r>
        <w:rPr>
          <w:sz w:val="16"/>
        </w:rPr>
        <w:t>Funds From Operations ("FFO"): The Company calculates FFO in accordance with the current National Association of Real Estate Investment Trusts (“NAREIT”) definition. NAREIT currently defines FFO as net income (computed in accordance with GAAP), excl</w:t>
      </w:r>
      <w:r>
        <w:rPr>
          <w:sz w:val="16"/>
        </w:rPr>
        <w:t xml:space="preserve">uding gains or losses from sales of property and impairment losses, adding back depreciation and amortization on real estate assets, and after the same adjustments for unconsolidated partnerships and joint ventures. These adjustments can vary among owners </w:t>
      </w:r>
      <w:r>
        <w:rPr>
          <w:sz w:val="16"/>
        </w:rPr>
        <w:t>of identical assets in similar conditions based on historical cost accounting and useful-life estimates. FFO is a non-GAAP financial measure and should not be viewed as an alternative to net income calculated in accordance with GAAP as a measurement of the</w:t>
      </w:r>
      <w:r>
        <w:rPr>
          <w:sz w:val="16"/>
        </w:rPr>
        <w:t xml:space="preserve"> Company’s operating performance. The Company believes that FFO is helpful to investors as a supplemental performance measure because it excludes the effects of depreciation, amortization and gains or losses from sales of real estate, all of which are base</w:t>
      </w:r>
      <w:r>
        <w:rPr>
          <w:sz w:val="16"/>
        </w:rPr>
        <w:t>d on historical costs, which implicitly assumes that the value of real estate diminishes predictably over time. The Company also believes that FFO can help facilitate comparisons of operating performance between periods and with other REITs. However, other</w:t>
      </w:r>
      <w:r>
        <w:rPr>
          <w:sz w:val="16"/>
        </w:rPr>
        <w:t xml:space="preserve"> REITs may not define FFO in accordance with the NAREIT definition, or may interpret the current NAREIT definition differently than the Company; therefore, the Company’s computation of FFO may not be comparable to that of such other REITs.</w:t>
      </w:r>
    </w:p>
    <w:p w:rsidR="006B353C" w:rsidRDefault="006B353C">
      <w:pPr>
        <w:rPr>
          <w:sz w:val="16"/>
        </w:rPr>
      </w:pPr>
    </w:p>
    <w:p w:rsidR="006B353C" w:rsidRDefault="002D356F">
      <w:pPr>
        <w:rPr>
          <w:sz w:val="16"/>
        </w:rPr>
      </w:pPr>
      <w:r>
        <w:rPr>
          <w:sz w:val="16"/>
        </w:rPr>
        <w:t>Core Funds From</w:t>
      </w:r>
      <w:r>
        <w:rPr>
          <w:sz w:val="16"/>
        </w:rPr>
        <w:t xml:space="preserve"> Operations ("Core FFO"): The Company calculates Core FFO by starting with FFO, as defined by NAREIT, and adjusting for gains or losses on the extinguishment of swaps and/or debt, acquisition-related expenses (that are not capitalized) and any significant </w:t>
      </w:r>
      <w:r>
        <w:rPr>
          <w:sz w:val="16"/>
        </w:rPr>
        <w:t>non-recurring items. Core FFO is a non-GAAP financial measure and should not be viewed as an alternative to net income calculated in accordance with GAAP as a measurement of the Company’s operating performance. The Company believes that Core FFO is helpful</w:t>
      </w:r>
      <w:r>
        <w:rPr>
          <w:sz w:val="16"/>
        </w:rPr>
        <w:t xml:space="preserve"> to investors as a supplemental performance measure because it excludes the effects of certain items which can create significant earnings volatility, but which do not directly relate to the Company’s core business operations. As a result, the Company beli</w:t>
      </w:r>
      <w:r>
        <w:rPr>
          <w:sz w:val="16"/>
        </w:rPr>
        <w:t>eves that Core FFO can help facilitate comparisons of operating performance between periods and provides a more meaningful predictor of future earnings potential. Other REITs may not define Core FFO in the same manner as the Company; therefore, the Company</w:t>
      </w:r>
      <w:r>
        <w:rPr>
          <w:sz w:val="16"/>
        </w:rPr>
        <w:t>’s computation of Core FFO may not be comparable to that of other REITs.</w:t>
      </w:r>
    </w:p>
    <w:p w:rsidR="006B353C" w:rsidRDefault="006B353C">
      <w:pPr>
        <w:rPr>
          <w:sz w:val="16"/>
        </w:rPr>
      </w:pPr>
    </w:p>
    <w:p w:rsidR="006B353C" w:rsidRDefault="002D356F">
      <w:pPr>
        <w:rPr>
          <w:sz w:val="16"/>
        </w:rPr>
      </w:pPr>
      <w:r>
        <w:rPr>
          <w:sz w:val="16"/>
        </w:rPr>
        <w:t>Adjusted Funds From Operations ("AFFO"): The Company calculates AFFO by starting with Core FFO and adjusting for non-incremental capital expenditures and acquisition-related costs (t</w:t>
      </w:r>
      <w:r>
        <w:rPr>
          <w:sz w:val="16"/>
        </w:rPr>
        <w:t>hat are not capitalized) and then adding back non-cash items including: non-real estate depreciation, straight-lined rents and fair value lease adjustments, non-cash components of interest expense and compensation expense, and by making similar adjustments</w:t>
      </w:r>
      <w:r>
        <w:rPr>
          <w:sz w:val="16"/>
        </w:rPr>
        <w:t xml:space="preserve"> for unconsolidated partnerships and joint ventures.  AFFO is a non-GAAP financial measure and should not be viewed as an alternative to net income calculated in accordance with GAAP as a measurement of the Company’s operating performance.  The Company bel</w:t>
      </w:r>
      <w:r>
        <w:rPr>
          <w:sz w:val="16"/>
        </w:rPr>
        <w:t>ieves that AFFO is helpful to investors as a meaningful supplemental comparative performance measure of our ability to make incremental capital investments.  Other REITs may not define AFFO in the same manner as the Company; therefore, the Company’s comput</w:t>
      </w:r>
      <w:r>
        <w:rPr>
          <w:sz w:val="16"/>
        </w:rPr>
        <w:t>ation of AFFO may not be comparable to that of other REITs.</w:t>
      </w:r>
    </w:p>
    <w:p w:rsidR="006B353C" w:rsidRDefault="006B353C">
      <w:pPr>
        <w:rPr>
          <w:sz w:val="20"/>
        </w:rPr>
      </w:pPr>
    </w:p>
    <w:p w:rsidR="006B353C" w:rsidRDefault="002D356F">
      <w:pPr>
        <w:rPr>
          <w:sz w:val="16"/>
        </w:rPr>
      </w:pPr>
      <w:proofErr w:type="spellStart"/>
      <w:r>
        <w:rPr>
          <w:sz w:val="16"/>
        </w:rPr>
        <w:t>EBITDAre</w:t>
      </w:r>
      <w:proofErr w:type="spellEnd"/>
      <w:r>
        <w:rPr>
          <w:sz w:val="16"/>
        </w:rPr>
        <w:t xml:space="preserve">: The Company calculates </w:t>
      </w:r>
      <w:proofErr w:type="spellStart"/>
      <w:r>
        <w:rPr>
          <w:sz w:val="16"/>
        </w:rPr>
        <w:t>EBITDAre</w:t>
      </w:r>
      <w:proofErr w:type="spellEnd"/>
      <w:r>
        <w:rPr>
          <w:sz w:val="16"/>
        </w:rPr>
        <w:t xml:space="preserve"> in accordance with the current National Association of Real Estate Investment Trusts (“NAREIT”) definition. NAREIT currently defines </w:t>
      </w:r>
      <w:proofErr w:type="spellStart"/>
      <w:r>
        <w:rPr>
          <w:sz w:val="16"/>
        </w:rPr>
        <w:t>EBITDAre</w:t>
      </w:r>
      <w:proofErr w:type="spellEnd"/>
      <w:r>
        <w:rPr>
          <w:sz w:val="16"/>
        </w:rPr>
        <w:t xml:space="preserve"> as net inco</w:t>
      </w:r>
      <w:r>
        <w:rPr>
          <w:sz w:val="16"/>
        </w:rPr>
        <w:t>me (computed in accordance with GAAP) adjusted for gains or losses from sales of property, impairment losses, depreciation on real estate assets, amortization on real estate assets, interest expense and taxes, along with the same adjustments for unconsolid</w:t>
      </w:r>
      <w:r>
        <w:rPr>
          <w:sz w:val="16"/>
        </w:rPr>
        <w:t xml:space="preserve">ated partnerships and joint ventures.  Some of the adjustments mentioned can vary among owners of identical assets in similar conditions based on historical cost accounting and useful-life estimates.  </w:t>
      </w:r>
      <w:proofErr w:type="spellStart"/>
      <w:r>
        <w:rPr>
          <w:sz w:val="16"/>
        </w:rPr>
        <w:t>EBITDAre</w:t>
      </w:r>
      <w:proofErr w:type="spellEnd"/>
      <w:r>
        <w:rPr>
          <w:sz w:val="16"/>
        </w:rPr>
        <w:t xml:space="preserve"> is a non-GAAP financial measure and should not</w:t>
      </w:r>
      <w:r>
        <w:rPr>
          <w:sz w:val="16"/>
        </w:rPr>
        <w:t xml:space="preserve"> be viewed as an alternative to net income calculated in accordance with GAAP as a measurement of the Company’s operating performance.  The Company believes that </w:t>
      </w:r>
      <w:proofErr w:type="spellStart"/>
      <w:r>
        <w:rPr>
          <w:sz w:val="16"/>
        </w:rPr>
        <w:t>EBITDAre</w:t>
      </w:r>
      <w:proofErr w:type="spellEnd"/>
      <w:r>
        <w:rPr>
          <w:sz w:val="16"/>
        </w:rPr>
        <w:t xml:space="preserve"> is helpful to investors as a supplemental performance measure because it provides a m</w:t>
      </w:r>
      <w:r>
        <w:rPr>
          <w:sz w:val="16"/>
        </w:rPr>
        <w:t>etric for understanding the Company’s results from ongoing operations without taking into account the effects of non-cash expenses (such as depreciation and amortization) and capitalization and capital structure expenses (such as interest expense and taxes</w:t>
      </w:r>
      <w:r>
        <w:rPr>
          <w:sz w:val="16"/>
        </w:rPr>
        <w:t xml:space="preserve">).  The Company also believes that </w:t>
      </w:r>
      <w:proofErr w:type="spellStart"/>
      <w:r>
        <w:rPr>
          <w:sz w:val="16"/>
        </w:rPr>
        <w:t>EBITDAre</w:t>
      </w:r>
      <w:proofErr w:type="spellEnd"/>
      <w:r>
        <w:rPr>
          <w:sz w:val="16"/>
        </w:rPr>
        <w:t xml:space="preserve"> can help facilitate comparisons of operating performance between periods and with other REITs. However, other REITs may not define </w:t>
      </w:r>
      <w:proofErr w:type="spellStart"/>
      <w:r>
        <w:rPr>
          <w:sz w:val="16"/>
        </w:rPr>
        <w:t>EBITDAre</w:t>
      </w:r>
      <w:proofErr w:type="spellEnd"/>
      <w:r>
        <w:rPr>
          <w:sz w:val="16"/>
        </w:rPr>
        <w:t xml:space="preserve"> in accordance with the NAREIT definition, or may interpret the current N</w:t>
      </w:r>
      <w:r>
        <w:rPr>
          <w:sz w:val="16"/>
        </w:rPr>
        <w:t xml:space="preserve">AREIT definition differently than the Company; therefore, the Company’s computation of </w:t>
      </w:r>
      <w:proofErr w:type="spellStart"/>
      <w:r>
        <w:rPr>
          <w:sz w:val="16"/>
        </w:rPr>
        <w:t>EBITDAre</w:t>
      </w:r>
      <w:proofErr w:type="spellEnd"/>
      <w:r>
        <w:rPr>
          <w:sz w:val="16"/>
        </w:rPr>
        <w:t xml:space="preserve"> may not be comparable to that of such other REITs.</w:t>
      </w:r>
    </w:p>
    <w:p w:rsidR="006B353C" w:rsidRDefault="006B353C">
      <w:pPr>
        <w:rPr>
          <w:sz w:val="16"/>
        </w:rPr>
      </w:pPr>
    </w:p>
    <w:p w:rsidR="006B353C" w:rsidRDefault="002D356F">
      <w:pPr>
        <w:rPr>
          <w:sz w:val="16"/>
        </w:rPr>
      </w:pPr>
      <w:r>
        <w:rPr>
          <w:sz w:val="16"/>
        </w:rPr>
        <w:t xml:space="preserve">Property Net Operating Income ("Property NOI"):  The Company calculates Property NOI by starting with </w:t>
      </w:r>
      <w:r>
        <w:rPr>
          <w:sz w:val="16"/>
        </w:rPr>
        <w:t>Core EBITDA and adjusting for general and administrative expense, income associated with property management performed by Piedmont for other organizations and other income or expense items for the Company, such as interest income from loan investments or c</w:t>
      </w:r>
      <w:r>
        <w:rPr>
          <w:sz w:val="16"/>
        </w:rPr>
        <w:t>osts from the pursuit of non-consummated transactions.  The Company may present this measure on an accrual basis or a cash basis. When presented on a cash basis, the effects of straight lined rents and fair value lease revenue are also eliminated.  Propert</w:t>
      </w:r>
      <w:r>
        <w:rPr>
          <w:sz w:val="16"/>
        </w:rPr>
        <w:t xml:space="preserve">y NOI is a non-GAAP financial measure and should not be viewed as an alternative to net income calculated in accordance with GAAP as a measurement of the Company’s operating performance.  The Company believes that Property NOI is helpful to investors as a </w:t>
      </w:r>
      <w:r>
        <w:rPr>
          <w:sz w:val="16"/>
        </w:rPr>
        <w:t>supplemental comparative performance measure of income generated by its properties alone without the administrative overhead of the Company.  Other REITs may not define Property NOI in the same manner as the Company; therefore, the Company’s computation of</w:t>
      </w:r>
      <w:r>
        <w:rPr>
          <w:sz w:val="16"/>
        </w:rPr>
        <w:t xml:space="preserve"> Property NOI may not be comparable to that of other REITs.</w:t>
      </w:r>
    </w:p>
    <w:p w:rsidR="006B353C" w:rsidRDefault="006B353C">
      <w:pPr>
        <w:rPr>
          <w:sz w:val="16"/>
        </w:rPr>
      </w:pPr>
    </w:p>
    <w:p w:rsidR="006B353C" w:rsidRDefault="002D356F">
      <w:pPr>
        <w:rPr>
          <w:sz w:val="16"/>
        </w:rPr>
      </w:pPr>
      <w:r>
        <w:rPr>
          <w:sz w:val="16"/>
        </w:rPr>
        <w:t>Same Store Net Operating Income ("Same Store NOI"): The Company calculates Same Store NOI as Property NOI attributable to the properties for which the following criteria were met during the entir</w:t>
      </w:r>
      <w:r>
        <w:rPr>
          <w:sz w:val="16"/>
        </w:rPr>
        <w:t>e span of the current and prior year reporting periods: (</w:t>
      </w:r>
      <w:proofErr w:type="spellStart"/>
      <w:r>
        <w:rPr>
          <w:sz w:val="16"/>
        </w:rPr>
        <w:t>i</w:t>
      </w:r>
      <w:proofErr w:type="spellEnd"/>
      <w:r>
        <w:rPr>
          <w:sz w:val="16"/>
        </w:rPr>
        <w:t>) they were owned, (ii) they were not under development / redevelopment, and (iii) none of the operating expenses for which were capitalized.  Same Store NOI also excludes amounts attributable to la</w:t>
      </w:r>
      <w:r>
        <w:rPr>
          <w:sz w:val="16"/>
        </w:rPr>
        <w:t>nd assets. The Company may present this measure on an accrual basis or a cash basis. When presented on a cash basis, the effects of straight lined rents and fair value lease revenue are also eliminated.  Same Store NOI is a non-GAAP financial measure and s</w:t>
      </w:r>
      <w:r>
        <w:rPr>
          <w:sz w:val="16"/>
        </w:rPr>
        <w:t>hould not be viewed as an alternative to net income calculated in accordance with GAAP as a measurement of the Company’s operating performance.  The Company believes that Same Store NOI is helpful to investors as a supplemental comparative performance meas</w:t>
      </w:r>
      <w:r>
        <w:rPr>
          <w:sz w:val="16"/>
        </w:rPr>
        <w:t>ure of the income generated from the same group of properties from one period to the next.  Other REITs may not define Same Store NOI in the same manner as the Company; therefore, the Company’s computation of Same Store NOI may not be comparable to that of</w:t>
      </w:r>
      <w:r>
        <w:rPr>
          <w:sz w:val="16"/>
        </w:rPr>
        <w:t xml:space="preserve"> other REITs.</w:t>
      </w:r>
    </w:p>
    <w:p w:rsidR="006B353C" w:rsidRDefault="006B353C">
      <w:pPr>
        <w:rPr>
          <w:sz w:val="20"/>
        </w:rPr>
      </w:pPr>
    </w:p>
    <w:sectPr w:rsidR="006B353C">
      <w:headerReference w:type="default" r:id="rId10"/>
      <w:footerReference w:type="default" r:id="rId11"/>
      <w:pgSz w:w="12240" w:h="15840"/>
      <w:pgMar w:top="855" w:right="990" w:bottom="855" w:left="1890" w:header="270" w:footer="2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D356F">
      <w:r>
        <w:separator/>
      </w:r>
    </w:p>
  </w:endnote>
  <w:endnote w:type="continuationSeparator" w:id="0">
    <w:p w:rsidR="00000000" w:rsidRDefault="002D3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53C" w:rsidRDefault="006B353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53C" w:rsidRDefault="006B353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53C" w:rsidRDefault="006B35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2D356F">
      <w:r>
        <w:separator/>
      </w:r>
    </w:p>
  </w:footnote>
  <w:footnote w:type="continuationSeparator" w:id="0">
    <w:p w:rsidR="00000000" w:rsidRDefault="002D3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53C" w:rsidRDefault="006B35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53C" w:rsidRDefault="006B353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53C" w:rsidRDefault="006B353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2D356F"/>
    <w:rsid w:val="006B353C"/>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3CA0878-E3BE-4AE9-B729-D8C7434A9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2300</Words>
  <Characters>13114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PDM 3 31 20 EX 99 1 Q1 2020 EARNINGS RELEASE</vt:lpstr>
    </vt:vector>
  </TitlesOfParts>
  <Company/>
  <LinksUpToDate>false</LinksUpToDate>
  <CharactersWithSpaces>15384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PDM 3 31 20 EX 99 1 Q1 2020 EARNINGS RELEASE</dc:title>
  <dc:creator>Laura Moon</dc:creator>
  <cp:lastModifiedBy>Laura Moon</cp:lastModifiedBy>
  <cp:revision>2</cp:revision>
  <dcterms:created xsi:type="dcterms:W3CDTF">2020-04-29T19:41:00Z</dcterms:created>
  <dcterms:modified xsi:type="dcterms:W3CDTF">2020-04-29T19:41:00Z</dcterms:modified>
</cp:coreProperties>
</file>