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0293216"/>
    <w:p w14:paraId="2855F058" w14:textId="2F8E2F2B" w:rsidR="00821509" w:rsidRPr="004B440C" w:rsidRDefault="00455EF8" w:rsidP="00821509">
      <w:pPr>
        <w:spacing w:after="0" w:line="240" w:lineRule="auto"/>
        <w:ind w:left="3600"/>
        <w:rPr>
          <w:rFonts w:ascii="Arial" w:hAnsi="Arial" w:cs="Arial"/>
          <w:b/>
          <w:sz w:val="36"/>
          <w:szCs w:val="36"/>
        </w:rPr>
      </w:pPr>
      <w:r w:rsidRPr="005D5561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0912B" wp14:editId="47859550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076450" cy="1404620"/>
                <wp:effectExtent l="0" t="0" r="0" b="127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6D5C" w14:textId="77777777" w:rsidR="00F15C9D" w:rsidRDefault="00F15C9D" w:rsidP="00F15C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 MORE INFORMATION:</w:t>
                            </w:r>
                          </w:p>
                          <w:p w14:paraId="36301AB2" w14:textId="77777777" w:rsidR="00F15C9D" w:rsidRDefault="008F45FF" w:rsidP="00F15C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F15C9D" w:rsidRPr="007B7B2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Dave Whitman</w:t>
                              </w:r>
                            </w:hyperlink>
                          </w:p>
                          <w:p w14:paraId="6FEABFA9" w14:textId="6E7CE1F2" w:rsidR="005D5561" w:rsidRPr="00455EF8" w:rsidRDefault="00F15C9D" w:rsidP="00F15C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/>
                                <w:sz w:val="17"/>
                                <w:szCs w:val="17"/>
                              </w:rPr>
                              <w:t>313.442.8226</w:t>
                            </w:r>
                          </w:p>
                          <w:p w14:paraId="3B670133" w14:textId="79A5E3C1" w:rsidR="005D5561" w:rsidRPr="00455EF8" w:rsidRDefault="005D5561" w:rsidP="005D55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5F2A69" w14:textId="0874F0DA" w:rsidR="005D5561" w:rsidRPr="00455EF8" w:rsidRDefault="005D5561" w:rsidP="005D55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409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163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rKDQ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" stroked="f">
                <v:textbox style="mso-fit-shape-to-text:t">
                  <w:txbxContent>
                    <w:p w14:paraId="09C06D5C" w14:textId="77777777" w:rsidR="00F15C9D" w:rsidRDefault="00F15C9D" w:rsidP="00F15C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 MORE INFORMATION:</w:t>
                      </w:r>
                    </w:p>
                    <w:p w14:paraId="36301AB2" w14:textId="77777777" w:rsidR="00F15C9D" w:rsidRDefault="00953745" w:rsidP="00F15C9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0" w:history="1">
                        <w:r w:rsidR="00F15C9D" w:rsidRPr="007B7B2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Dave Whitman</w:t>
                        </w:r>
                      </w:hyperlink>
                    </w:p>
                    <w:p w14:paraId="6FEABFA9" w14:textId="6E7CE1F2" w:rsidR="005D5561" w:rsidRPr="00455EF8" w:rsidRDefault="00F15C9D" w:rsidP="00F15C9D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62626"/>
                          <w:sz w:val="17"/>
                          <w:szCs w:val="17"/>
                        </w:rPr>
                        <w:t>313.442.8226</w:t>
                      </w:r>
                    </w:p>
                    <w:p w14:paraId="3B670133" w14:textId="79A5E3C1" w:rsidR="005D5561" w:rsidRPr="00455EF8" w:rsidRDefault="005D5561" w:rsidP="005D55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C5F2A69" w14:textId="0874F0DA" w:rsidR="005D5561" w:rsidRPr="00455EF8" w:rsidRDefault="005D5561" w:rsidP="005D55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40C" w:rsidRPr="004B440C">
        <w:rPr>
          <w:rFonts w:ascii="Arial" w:hAnsi="Arial" w:cs="Arial"/>
          <w:b/>
          <w:bCs/>
          <w:noProof/>
          <w:sz w:val="36"/>
          <w:szCs w:val="36"/>
        </w:rPr>
        <w:t>SMITHGROUP EXTENDS GREAT LAKES DESIGN EXPERTISE TO CLEVELAND</w:t>
      </w:r>
    </w:p>
    <w:p w14:paraId="03F22EB9" w14:textId="59249BD3" w:rsidR="00821509" w:rsidRDefault="00821509" w:rsidP="00821509">
      <w:pPr>
        <w:spacing w:after="0" w:line="240" w:lineRule="auto"/>
        <w:ind w:left="3600"/>
        <w:rPr>
          <w:rFonts w:ascii="Arial" w:hAnsi="Arial" w:cs="Arial"/>
          <w:bCs/>
          <w:sz w:val="20"/>
          <w:szCs w:val="20"/>
        </w:rPr>
      </w:pPr>
    </w:p>
    <w:bookmarkEnd w:id="0"/>
    <w:p w14:paraId="13250296" w14:textId="0D40E677" w:rsidR="004B440C" w:rsidRDefault="00347724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347724">
        <w:rPr>
          <w:rFonts w:ascii="Arial" w:hAnsi="Arial" w:cs="Arial"/>
          <w:sz w:val="20"/>
          <w:szCs w:val="20"/>
        </w:rPr>
        <w:t xml:space="preserve">CLEVELAND, April 18, 2023, </w:t>
      </w:r>
      <w:hyperlink r:id="rId11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SmithGroup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, one of the nation’s leading integrated design firms, has opened its newest office in Cleveland. </w:t>
      </w:r>
      <w:r w:rsidR="008C501F" w:rsidRPr="008C501F">
        <w:rPr>
          <w:rFonts w:ascii="Arial" w:hAnsi="Arial" w:cs="Arial"/>
          <w:color w:val="000000"/>
          <w:spacing w:val="-5"/>
          <w:sz w:val="20"/>
          <w:szCs w:val="20"/>
        </w:rPr>
        <w:t>As the company's 20th office, this new location builds upon</w:t>
      </w:r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a strong legacy of work</w:t>
      </w:r>
      <w:r w:rsidR="004B440C" w:rsidRPr="004B440C">
        <w:rPr>
          <w:rFonts w:ascii="Arial" w:hAnsi="Arial" w:cs="Arial"/>
          <w:color w:val="000000" w:themeColor="text1"/>
          <w:sz w:val="20"/>
          <w:szCs w:val="20"/>
        </w:rPr>
        <w:t xml:space="preserve"> that the firm has led in Cleveland, Northeast Ohio and along Lake Erie, </w:t>
      </w:r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>and strengthens the company’s network of expertise in the Great Lakes region, which includes operations in </w:t>
      </w:r>
      <w:hyperlink r:id="rId12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Ann Arbor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, </w:t>
      </w:r>
      <w:hyperlink r:id="rId13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Chicago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>, </w:t>
      </w:r>
      <w:hyperlink r:id="rId14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Detroit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>, </w:t>
      </w:r>
      <w:hyperlink r:id="rId15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Madison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, </w:t>
      </w:r>
      <w:hyperlink r:id="rId16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Milwaukee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and </w:t>
      </w:r>
      <w:hyperlink r:id="rId17" w:history="1">
        <w:r w:rsidR="004B440C"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Pittsburgh</w:t>
        </w:r>
      </w:hyperlink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. It also deepens SmithGroup’s long-standing connections in Ohio, where it has successfully delivered impactful architecture, landscape architecture, urban planning, coastal </w:t>
      </w:r>
      <w:proofErr w:type="gramStart"/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>engineering</w:t>
      </w:r>
      <w:proofErr w:type="gramEnd"/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and waterfront projects for </w:t>
      </w:r>
      <w:r w:rsidR="004B440C" w:rsidRPr="004B440C">
        <w:rPr>
          <w:rFonts w:ascii="Arial" w:hAnsi="Arial" w:cs="Arial"/>
          <w:color w:val="000000" w:themeColor="text1"/>
          <w:sz w:val="20"/>
          <w:szCs w:val="20"/>
        </w:rPr>
        <w:t>s</w:t>
      </w:r>
      <w:r w:rsidR="004B440C" w:rsidRPr="004B440C">
        <w:rPr>
          <w:rFonts w:ascii="Arial" w:hAnsi="Arial" w:cs="Arial"/>
          <w:color w:val="000000"/>
          <w:spacing w:val="-5"/>
          <w:sz w:val="20"/>
          <w:szCs w:val="20"/>
        </w:rPr>
        <w:t>everal decades.</w:t>
      </w:r>
    </w:p>
    <w:p w14:paraId="24A5C914" w14:textId="4C69D534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4B440C">
        <w:rPr>
          <w:rFonts w:ascii="Arial" w:hAnsi="Arial" w:cs="Arial"/>
          <w:color w:val="000000"/>
          <w:spacing w:val="-5"/>
          <w:sz w:val="20"/>
          <w:szCs w:val="20"/>
        </w:rPr>
        <w:t>   </w:t>
      </w:r>
    </w:p>
    <w:p w14:paraId="071FC3A9" w14:textId="38E21FE8" w:rsidR="004B440C" w:rsidRPr="004B440C" w:rsidDel="00E55383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 xml:space="preserve">SmithGroup’s Cleveland office team includes Principal landscape architect </w:t>
      </w:r>
      <w:hyperlink r:id="rId18">
        <w:r w:rsidRPr="004B440C">
          <w:rPr>
            <w:rStyle w:val="Hyperlink"/>
            <w:rFonts w:ascii="Arial" w:eastAsia="Karla" w:hAnsi="Arial" w:cs="Arial"/>
            <w:sz w:val="20"/>
            <w:szCs w:val="20"/>
          </w:rPr>
          <w:t>Chad Brintnall;</w:t>
        </w:r>
      </w:hyperlink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 xml:space="preserve"> senior planner and waterfront strategist Michelle Johnson; and landscape architect, </w:t>
      </w:r>
      <w:proofErr w:type="gramStart"/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>architect</w:t>
      </w:r>
      <w:proofErr w:type="gramEnd"/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 xml:space="preserve"> and planner Marisa Razi. The team will collaborate closely with </w:t>
      </w:r>
      <w:hyperlink r:id="rId19">
        <w:r w:rsidRPr="004B440C">
          <w:rPr>
            <w:rStyle w:val="Hyperlink"/>
            <w:rFonts w:ascii="Arial" w:eastAsia="Karla" w:hAnsi="Arial" w:cs="Arial"/>
            <w:sz w:val="20"/>
            <w:szCs w:val="20"/>
          </w:rPr>
          <w:t>Michael Johnson</w:t>
        </w:r>
      </w:hyperlink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 xml:space="preserve">, </w:t>
      </w:r>
      <w:r w:rsidRPr="004B440C">
        <w:rPr>
          <w:rFonts w:ascii="Arial" w:eastAsia="Karla" w:hAnsi="Arial" w:cs="Arial"/>
          <w:sz w:val="20"/>
          <w:szCs w:val="20"/>
        </w:rPr>
        <w:t xml:space="preserve">urban design and planning studio leader; and </w:t>
      </w:r>
      <w:hyperlink r:id="rId20">
        <w:r w:rsidRPr="004B440C">
          <w:rPr>
            <w:rStyle w:val="Hyperlink"/>
            <w:rFonts w:ascii="Arial" w:eastAsia="Karla" w:hAnsi="Arial" w:cs="Arial"/>
            <w:sz w:val="20"/>
            <w:szCs w:val="20"/>
          </w:rPr>
          <w:t>Jason</w:t>
        </w:r>
        <w:r>
          <w:rPr>
            <w:rStyle w:val="Hyperlink"/>
            <w:rFonts w:ascii="Arial" w:eastAsia="Karla" w:hAnsi="Arial" w:cs="Arial"/>
            <w:sz w:val="20"/>
            <w:szCs w:val="20"/>
          </w:rPr>
          <w:t xml:space="preserve"> </w:t>
        </w:r>
        <w:r w:rsidRPr="004B440C">
          <w:rPr>
            <w:rStyle w:val="Hyperlink"/>
            <w:rFonts w:ascii="Arial" w:eastAsia="Karla" w:hAnsi="Arial" w:cs="Arial"/>
            <w:sz w:val="20"/>
            <w:szCs w:val="20"/>
          </w:rPr>
          <w:t>Stangland</w:t>
        </w:r>
      </w:hyperlink>
      <w:r w:rsidRPr="004B440C">
        <w:rPr>
          <w:rFonts w:ascii="Arial" w:eastAsia="Karla" w:hAnsi="Arial" w:cs="Arial"/>
          <w:color w:val="000000"/>
          <w:spacing w:val="-5"/>
          <w:sz w:val="20"/>
          <w:szCs w:val="20"/>
        </w:rPr>
        <w:t>, SmithGroup’s</w:t>
      </w:r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hyperlink r:id="rId21" w:history="1">
        <w:r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Waterfront Practice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director who has led several prominent projects in the region. Recent notable work includes a transformational, precedent-setting $8.5 million multi-phase erosion mitigation and public access infrastructure project for the </w:t>
      </w:r>
      <w:hyperlink r:id="rId22" w:history="1">
        <w:r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City of Euclid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. The firm is also working with </w:t>
      </w:r>
      <w:hyperlink r:id="rId23">
        <w:r w:rsidRPr="004B440C">
          <w:rPr>
            <w:rStyle w:val="Hyperlink"/>
            <w:rFonts w:ascii="Arial" w:hAnsi="Arial" w:cs="Arial"/>
            <w:sz w:val="20"/>
            <w:szCs w:val="20"/>
          </w:rPr>
          <w:t>Cuyahoga County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to deliver a $260 million public access plan to improve transportation networks, increase public access to the waterfront and stabilize more than 30 miles of shoreline along Lake Erie. </w:t>
      </w:r>
    </w:p>
    <w:p w14:paraId="48796215" w14:textId="77777777" w:rsid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</w:p>
    <w:p w14:paraId="68A1D121" w14:textId="699306D1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“We’re excited to build on the impact we’ve had in the area and look forward to supporting the growing design needs of this region,” said Stangland.  </w:t>
      </w:r>
    </w:p>
    <w:p w14:paraId="0918BC4B" w14:textId="77777777" w:rsid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</w:p>
    <w:p w14:paraId="22E0DBAC" w14:textId="0DE0EE0A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Additional work in the region includes projects for Cleveland State University, </w:t>
      </w:r>
      <w:hyperlink r:id="rId24">
        <w:r w:rsidRPr="004B440C">
          <w:rPr>
            <w:rStyle w:val="Hyperlink"/>
            <w:rFonts w:ascii="Arial" w:hAnsi="Arial" w:cs="Arial"/>
            <w:sz w:val="20"/>
            <w:szCs w:val="20"/>
          </w:rPr>
          <w:t>University of Toledo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, </w:t>
      </w:r>
      <w:hyperlink r:id="rId25">
        <w:r w:rsidRPr="004B440C">
          <w:rPr>
            <w:rStyle w:val="Hyperlink"/>
            <w:rFonts w:ascii="Arial" w:hAnsi="Arial" w:cs="Arial"/>
            <w:sz w:val="20"/>
            <w:szCs w:val="20"/>
          </w:rPr>
          <w:t>Toledo Metroparks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and more.</w:t>
      </w:r>
    </w:p>
    <w:p w14:paraId="78C1D5BE" w14:textId="77777777" w:rsid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</w:p>
    <w:p w14:paraId="2758128E" w14:textId="294FE2F0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spacing w:val="-5"/>
          <w:sz w:val="20"/>
          <w:szCs w:val="20"/>
        </w:rPr>
      </w:pPr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The opening of the Cleveland office is the latest milestone in a goal of steady growth for SmithGroup, which recently opened locations in Atlanta, Houston, </w:t>
      </w:r>
      <w:proofErr w:type="gramStart"/>
      <w:r w:rsidRPr="004B440C">
        <w:rPr>
          <w:rFonts w:ascii="Arial" w:hAnsi="Arial" w:cs="Arial"/>
          <w:color w:val="000000"/>
          <w:spacing w:val="-5"/>
          <w:sz w:val="20"/>
          <w:szCs w:val="20"/>
        </w:rPr>
        <w:t>Portland</w:t>
      </w:r>
      <w:proofErr w:type="gramEnd"/>
      <w:r w:rsidRPr="004B440C">
        <w:rPr>
          <w:rFonts w:ascii="Arial" w:hAnsi="Arial" w:cs="Arial"/>
          <w:color w:val="000000"/>
          <w:spacing w:val="-5"/>
          <w:sz w:val="20"/>
          <w:szCs w:val="20"/>
        </w:rPr>
        <w:t xml:space="preserve"> and Sacramento. “One of the key elements of our strategic plan is to enhance our ability to serve clients through an expansion in studios, disciplines and geography,” said </w:t>
      </w:r>
      <w:hyperlink r:id="rId26" w:tgtFrame="_blank" w:history="1">
        <w:r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Russ Sykes</w:t>
        </w:r>
      </w:hyperlink>
      <w:r w:rsidRPr="004B440C">
        <w:rPr>
          <w:rFonts w:ascii="Arial" w:hAnsi="Arial" w:cs="Arial"/>
          <w:spacing w:val="-5"/>
          <w:sz w:val="20"/>
          <w:szCs w:val="20"/>
        </w:rPr>
        <w:t>, chairman and managing partner at SmithGroup. “This new office expands our geographic footprint in the Great Lakes region and enables us to better connect our team with local communities.”  </w:t>
      </w:r>
    </w:p>
    <w:p w14:paraId="77B5C792" w14:textId="77777777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spacing w:val="-5"/>
          <w:sz w:val="20"/>
          <w:szCs w:val="20"/>
        </w:rPr>
      </w:pPr>
    </w:p>
    <w:p w14:paraId="78CC867B" w14:textId="3F31E1F2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spacing w:val="-5"/>
          <w:sz w:val="20"/>
          <w:szCs w:val="20"/>
        </w:rPr>
      </w:pPr>
      <w:r w:rsidRPr="004B440C">
        <w:rPr>
          <w:rFonts w:ascii="Arial" w:hAnsi="Arial" w:cs="Arial"/>
          <w:spacing w:val="-5"/>
          <w:sz w:val="20"/>
          <w:szCs w:val="20"/>
        </w:rPr>
        <w:t xml:space="preserve">SmithGroup’s Cleveland office is located at 1240 Huron Road East, </w:t>
      </w:r>
      <w:r w:rsidRPr="004B440C">
        <w:rPr>
          <w:rFonts w:ascii="Arial" w:hAnsi="Arial" w:cs="Arial"/>
          <w:sz w:val="20"/>
          <w:szCs w:val="20"/>
        </w:rPr>
        <w:t>Suite 410</w:t>
      </w:r>
      <w:r w:rsidRPr="004B440C">
        <w:rPr>
          <w:rFonts w:ascii="Arial" w:hAnsi="Arial" w:cs="Arial"/>
          <w:spacing w:val="-5"/>
          <w:sz w:val="20"/>
          <w:szCs w:val="20"/>
        </w:rPr>
        <w:t>.</w:t>
      </w:r>
    </w:p>
    <w:p w14:paraId="59502607" w14:textId="77777777" w:rsidR="004B440C" w:rsidRPr="004B440C" w:rsidRDefault="004B440C" w:rsidP="004B440C">
      <w:pPr>
        <w:pStyle w:val="NormalWeb"/>
        <w:spacing w:before="0" w:beforeAutospacing="0" w:after="0" w:afterAutospacing="0"/>
        <w:ind w:left="3600"/>
        <w:rPr>
          <w:rFonts w:ascii="Arial" w:hAnsi="Arial" w:cs="Arial"/>
          <w:color w:val="000000"/>
          <w:spacing w:val="-5"/>
          <w:sz w:val="20"/>
          <w:szCs w:val="20"/>
        </w:rPr>
      </w:pPr>
      <w:r w:rsidRPr="004B440C">
        <w:rPr>
          <w:rFonts w:ascii="Arial" w:hAnsi="Arial" w:cs="Arial"/>
          <w:spacing w:val="-5"/>
          <w:sz w:val="20"/>
          <w:szCs w:val="20"/>
        </w:rPr>
        <w:t>For more information about SmithGroup, please visit our </w:t>
      </w:r>
      <w:hyperlink r:id="rId27" w:history="1">
        <w:r w:rsidRPr="004B440C">
          <w:rPr>
            <w:rStyle w:val="Hyperlink"/>
            <w:rFonts w:ascii="Arial" w:hAnsi="Arial" w:cs="Arial"/>
            <w:spacing w:val="-5"/>
            <w:sz w:val="20"/>
            <w:szCs w:val="20"/>
          </w:rPr>
          <w:t>Company Fact Sheet</w:t>
        </w:r>
      </w:hyperlink>
      <w:r w:rsidRPr="004B440C">
        <w:rPr>
          <w:rFonts w:ascii="Arial" w:hAnsi="Arial" w:cs="Arial"/>
          <w:color w:val="000000"/>
          <w:spacing w:val="-5"/>
          <w:sz w:val="20"/>
          <w:szCs w:val="20"/>
        </w:rPr>
        <w:t>.</w:t>
      </w:r>
    </w:p>
    <w:p w14:paraId="47558209" w14:textId="77777777" w:rsidR="009C3B45" w:rsidRPr="007B7B2D" w:rsidRDefault="009C3B45" w:rsidP="009C3B45">
      <w:pPr>
        <w:spacing w:after="0" w:line="240" w:lineRule="exact"/>
        <w:ind w:left="3600"/>
        <w:rPr>
          <w:rFonts w:ascii="Arial" w:eastAsia="Calibri" w:hAnsi="Arial" w:cs="Arial"/>
          <w:sz w:val="20"/>
          <w:szCs w:val="20"/>
        </w:rPr>
      </w:pPr>
    </w:p>
    <w:p w14:paraId="58DB7B34" w14:textId="08ECD31B" w:rsidR="00C3529E" w:rsidRPr="009C3B45" w:rsidRDefault="009C3B45" w:rsidP="009C3B45">
      <w:pPr>
        <w:spacing w:after="0" w:line="240" w:lineRule="exact"/>
        <w:ind w:left="3600"/>
        <w:rPr>
          <w:rFonts w:ascii="Arial" w:eastAsia="Calibri" w:hAnsi="Arial" w:cs="Arial"/>
          <w:sz w:val="20"/>
          <w:szCs w:val="20"/>
        </w:rPr>
      </w:pPr>
      <w:r w:rsidRPr="12FBA5DB">
        <w:rPr>
          <w:rFonts w:ascii="Arial" w:eastAsia="Calibri" w:hAnsi="Arial" w:cs="Arial"/>
          <w:b/>
          <w:bCs/>
          <w:sz w:val="20"/>
          <w:szCs w:val="20"/>
        </w:rPr>
        <w:t>SmithGroup</w:t>
      </w:r>
      <w:r w:rsidRPr="12FBA5DB">
        <w:rPr>
          <w:rFonts w:ascii="Arial" w:eastAsia="Calibri" w:hAnsi="Arial" w:cs="Arial"/>
          <w:sz w:val="20"/>
          <w:szCs w:val="20"/>
        </w:rPr>
        <w:t xml:space="preserve"> (</w:t>
      </w:r>
      <w:hyperlink r:id="rId28">
        <w:r w:rsidRPr="12FBA5DB">
          <w:rPr>
            <w:rFonts w:ascii="Arial" w:eastAsia="Calibri" w:hAnsi="Arial" w:cs="Arial"/>
            <w:sz w:val="20"/>
            <w:szCs w:val="20"/>
            <w:u w:val="single"/>
          </w:rPr>
          <w:t>www.smithgroup.com</w:t>
        </w:r>
      </w:hyperlink>
      <w:r w:rsidRPr="12FBA5DB">
        <w:rPr>
          <w:rFonts w:ascii="Arial" w:eastAsia="Calibri" w:hAnsi="Arial" w:cs="Arial"/>
          <w:sz w:val="20"/>
          <w:szCs w:val="20"/>
        </w:rPr>
        <w:t xml:space="preserve">) is one of the world’s preeminent integrated design firms. Working across a network of </w:t>
      </w:r>
      <w:r w:rsidR="00AE41C1">
        <w:rPr>
          <w:rFonts w:ascii="Arial" w:eastAsia="Calibri" w:hAnsi="Arial" w:cs="Arial"/>
          <w:sz w:val="20"/>
          <w:szCs w:val="20"/>
        </w:rPr>
        <w:t>20</w:t>
      </w:r>
      <w:r w:rsidRPr="12FBA5DB">
        <w:rPr>
          <w:rFonts w:ascii="Arial" w:eastAsia="Calibri" w:hAnsi="Arial" w:cs="Arial"/>
          <w:sz w:val="20"/>
          <w:szCs w:val="20"/>
        </w:rPr>
        <w:t xml:space="preserve"> offices in the U.S. and China, a team of 1,</w:t>
      </w:r>
      <w:r w:rsidR="007649C7">
        <w:rPr>
          <w:rFonts w:ascii="Arial" w:eastAsia="Calibri" w:hAnsi="Arial" w:cs="Arial"/>
          <w:sz w:val="20"/>
          <w:szCs w:val="20"/>
        </w:rPr>
        <w:t>3</w:t>
      </w:r>
      <w:r w:rsidRPr="12FBA5DB">
        <w:rPr>
          <w:rFonts w:ascii="Arial" w:eastAsia="Calibri" w:hAnsi="Arial" w:cs="Arial"/>
          <w:sz w:val="20"/>
          <w:szCs w:val="20"/>
        </w:rPr>
        <w:t xml:space="preserve">00 experts is committed to excellence in strategy, design, and delivery. The scale of the firm’s thinking and organization produces partnerships with forward-looking clients that maximize opportunities, minimize </w:t>
      </w:r>
      <w:proofErr w:type="gramStart"/>
      <w:r w:rsidRPr="12FBA5DB">
        <w:rPr>
          <w:rFonts w:ascii="Arial" w:eastAsia="Calibri" w:hAnsi="Arial" w:cs="Arial"/>
          <w:sz w:val="20"/>
          <w:szCs w:val="20"/>
        </w:rPr>
        <w:t>risk</w:t>
      </w:r>
      <w:proofErr w:type="gramEnd"/>
      <w:r w:rsidRPr="12FBA5DB">
        <w:rPr>
          <w:rFonts w:ascii="Arial" w:eastAsia="Calibri" w:hAnsi="Arial" w:cs="Arial"/>
          <w:sz w:val="20"/>
          <w:szCs w:val="20"/>
        </w:rPr>
        <w:t xml:space="preserve"> and solve their most complex problems. SmithGroup creates exceptional design solutions for healthcare, science and technology organizations, higher education and cultural institutions, urban environments, diverse workplaces, mixed-use and waterfront developments, and parks and open spaces.</w:t>
      </w:r>
    </w:p>
    <w:sectPr w:rsidR="00C3529E" w:rsidRPr="009C3B45" w:rsidSect="008F45FF">
      <w:headerReference w:type="default" r:id="rId29"/>
      <w:pgSz w:w="12240" w:h="15840"/>
      <w:pgMar w:top="2880" w:right="720" w:bottom="720" w:left="720" w:header="8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9579" w14:textId="77777777" w:rsidR="00411AA1" w:rsidRDefault="00411AA1" w:rsidP="004B7694">
      <w:pPr>
        <w:spacing w:after="0" w:line="240" w:lineRule="auto"/>
      </w:pPr>
      <w:r>
        <w:separator/>
      </w:r>
    </w:p>
  </w:endnote>
  <w:endnote w:type="continuationSeparator" w:id="0">
    <w:p w14:paraId="28C8517B" w14:textId="77777777" w:rsidR="00411AA1" w:rsidRDefault="00411AA1" w:rsidP="004B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1885" w14:textId="77777777" w:rsidR="00411AA1" w:rsidRDefault="00411AA1" w:rsidP="004B7694">
      <w:pPr>
        <w:spacing w:after="0" w:line="240" w:lineRule="auto"/>
      </w:pPr>
      <w:r>
        <w:separator/>
      </w:r>
    </w:p>
  </w:footnote>
  <w:footnote w:type="continuationSeparator" w:id="0">
    <w:p w14:paraId="2A757ED2" w14:textId="77777777" w:rsidR="00411AA1" w:rsidRDefault="00411AA1" w:rsidP="004B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F5F" w14:textId="4DAD8C14" w:rsidR="004B7694" w:rsidRPr="00821509" w:rsidRDefault="00821509" w:rsidP="00821509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27D5F6" wp14:editId="09DA1B21">
              <wp:simplePos x="0" y="0"/>
              <wp:positionH relativeFrom="margin">
                <wp:posOffset>5142865</wp:posOffset>
              </wp:positionH>
              <wp:positionV relativeFrom="paragraph">
                <wp:posOffset>71120</wp:posOffset>
              </wp:positionV>
              <wp:extent cx="1647825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9FE95" w14:textId="2F03D310" w:rsidR="00821509" w:rsidRPr="00455EF8" w:rsidRDefault="00821509" w:rsidP="00821509">
                          <w:pPr>
                            <w:ind w:right="-120"/>
                            <w:jc w:val="right"/>
                            <w:rPr>
                              <w:b/>
                              <w:color w:val="212121"/>
                              <w:sz w:val="30"/>
                              <w:szCs w:val="30"/>
                            </w:rPr>
                          </w:pPr>
                          <w:r w:rsidRPr="00455EF8">
                            <w:rPr>
                              <w:rFonts w:ascii="Arial" w:hAnsi="Arial" w:cs="Arial"/>
                              <w:b/>
                              <w:color w:val="212121"/>
                              <w:sz w:val="30"/>
                              <w:szCs w:val="30"/>
                            </w:rPr>
                            <w:t>NEWS RELEASE</w:t>
                          </w:r>
                        </w:p>
                        <w:p w14:paraId="691216E1" w14:textId="77777777" w:rsidR="00821509" w:rsidRDefault="0082150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7D5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4.95pt;margin-top:5.6pt;width:129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" filled="f" stroked="f">
              <v:textbox>
                <w:txbxContent>
                  <w:p w14:paraId="72A9FE95" w14:textId="2F03D310" w:rsidR="00821509" w:rsidRPr="00455EF8" w:rsidRDefault="00821509" w:rsidP="00821509">
                    <w:pPr>
                      <w:ind w:right="-120"/>
                      <w:jc w:val="right"/>
                      <w:rPr>
                        <w:b/>
                        <w:color w:val="212121"/>
                        <w:sz w:val="30"/>
                        <w:szCs w:val="30"/>
                      </w:rPr>
                    </w:pPr>
                    <w:r w:rsidRPr="00455EF8">
                      <w:rPr>
                        <w:rFonts w:ascii="Arial" w:hAnsi="Arial" w:cs="Arial"/>
                        <w:b/>
                        <w:color w:val="212121"/>
                        <w:sz w:val="30"/>
                        <w:szCs w:val="30"/>
                      </w:rPr>
                      <w:t>NEWS RELEASE</w:t>
                    </w:r>
                  </w:p>
                  <w:p w14:paraId="691216E1" w14:textId="77777777" w:rsidR="00821509" w:rsidRDefault="00821509"/>
                </w:txbxContent>
              </v:textbox>
              <w10:wrap type="square" anchorx="margin"/>
            </v:shape>
          </w:pict>
        </mc:Fallback>
      </mc:AlternateContent>
    </w:r>
    <w:r w:rsidR="004B7694">
      <w:rPr>
        <w:noProof/>
      </w:rPr>
      <w:drawing>
        <wp:anchor distT="0" distB="0" distL="114300" distR="114300" simplePos="0" relativeHeight="251658240" behindDoc="0" locked="0" layoutInCell="1" allowOverlap="1" wp14:anchorId="56D09659" wp14:editId="5C00BA78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2105025" cy="298057"/>
          <wp:effectExtent l="0" t="0" r="0" b="6985"/>
          <wp:wrapThrough wrapText="bothSides">
            <wp:wrapPolygon edited="0">
              <wp:start x="0" y="0"/>
              <wp:lineTo x="0" y="20725"/>
              <wp:lineTo x="21307" y="20725"/>
              <wp:lineTo x="2130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94"/>
    <w:rsid w:val="001E19B7"/>
    <w:rsid w:val="00233905"/>
    <w:rsid w:val="00347724"/>
    <w:rsid w:val="00411AA1"/>
    <w:rsid w:val="00455EF8"/>
    <w:rsid w:val="004B440C"/>
    <w:rsid w:val="004B7694"/>
    <w:rsid w:val="005D5561"/>
    <w:rsid w:val="00695633"/>
    <w:rsid w:val="007649C7"/>
    <w:rsid w:val="007B3280"/>
    <w:rsid w:val="00821509"/>
    <w:rsid w:val="008C501F"/>
    <w:rsid w:val="008F45FF"/>
    <w:rsid w:val="00954EC6"/>
    <w:rsid w:val="009C3B45"/>
    <w:rsid w:val="009E508D"/>
    <w:rsid w:val="00A06AB7"/>
    <w:rsid w:val="00A404CC"/>
    <w:rsid w:val="00A9181E"/>
    <w:rsid w:val="00AE41C1"/>
    <w:rsid w:val="00B91F52"/>
    <w:rsid w:val="00C14FF0"/>
    <w:rsid w:val="00C3529E"/>
    <w:rsid w:val="00C4439F"/>
    <w:rsid w:val="00E269FE"/>
    <w:rsid w:val="00F1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DAAB1"/>
  <w15:chartTrackingRefBased/>
  <w15:docId w15:val="{33D314E1-0640-49F4-9D62-466B0E4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69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B7694"/>
  </w:style>
  <w:style w:type="paragraph" w:styleId="Footer">
    <w:name w:val="footer"/>
    <w:basedOn w:val="Normal"/>
    <w:link w:val="FooterChar"/>
    <w:uiPriority w:val="99"/>
    <w:unhideWhenUsed/>
    <w:rsid w:val="004B769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B7694"/>
  </w:style>
  <w:style w:type="paragraph" w:customStyle="1" w:styleId="SGJJRLetterheadText">
    <w:name w:val="SGJJRLetterheadText"/>
    <w:basedOn w:val="Normal"/>
    <w:link w:val="SGJJRLetterheadTextChar"/>
    <w:qFormat/>
    <w:rsid w:val="004B7694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SGJJRLetterheadTextChar">
    <w:name w:val="SGJJRLetterheadText Char"/>
    <w:basedOn w:val="DefaultParagraphFont"/>
    <w:link w:val="SGJJRLetterheadText"/>
    <w:rsid w:val="004B7694"/>
    <w:rPr>
      <w:rFonts w:ascii="Garamond" w:eastAsiaTheme="minorEastAsia" w:hAnsi="Garamond"/>
      <w:sz w:val="20"/>
      <w:szCs w:val="20"/>
    </w:rPr>
  </w:style>
  <w:style w:type="paragraph" w:styleId="BodyTextIndent">
    <w:name w:val="Body Text Indent"/>
    <w:basedOn w:val="Normal"/>
    <w:link w:val="BodyTextIndentChar"/>
    <w:rsid w:val="0082150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150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215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3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B45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B45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B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mithgroup.com/our-firm/locations/chicago" TargetMode="External"/><Relationship Id="rId18" Type="http://schemas.openxmlformats.org/officeDocument/2006/relationships/hyperlink" Target="https://www.smithgroup.com/people/chad-brintnall" TargetMode="External"/><Relationship Id="rId26" Type="http://schemas.openxmlformats.org/officeDocument/2006/relationships/hyperlink" Target="https://www.smithgroup.com/people/russ-syk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mithgroup.com/our-work/markets/waterfron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mithgroup.com/our-firm/locations/ann-arbor" TargetMode="External"/><Relationship Id="rId17" Type="http://schemas.openxmlformats.org/officeDocument/2006/relationships/hyperlink" Target="https://www.smithgroup.com/our-firm/locations/pittsburgh" TargetMode="External"/><Relationship Id="rId25" Type="http://schemas.openxmlformats.org/officeDocument/2006/relationships/hyperlink" Target="https://www.smithgroup.com/projects/middlegrounds-metropa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ithgroup.com/milwaukee" TargetMode="External"/><Relationship Id="rId20" Type="http://schemas.openxmlformats.org/officeDocument/2006/relationships/hyperlink" Target="https://www.smithgroup.com/people/jason-stanglan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mithgroup.com/" TargetMode="External"/><Relationship Id="rId24" Type="http://schemas.openxmlformats.org/officeDocument/2006/relationships/hyperlink" Target="https://www.smithgroup.com/projects/university-of-toled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mithgroup.com/our-firm/locations/madison" TargetMode="External"/><Relationship Id="rId23" Type="http://schemas.openxmlformats.org/officeDocument/2006/relationships/hyperlink" Target="https://www.smithgroup.com/projects/cuyahoga-county-lakefront-public-access-plan" TargetMode="External"/><Relationship Id="rId28" Type="http://schemas.openxmlformats.org/officeDocument/2006/relationships/hyperlink" Target="http://www.smithgroup.com" TargetMode="External"/><Relationship Id="rId10" Type="http://schemas.openxmlformats.org/officeDocument/2006/relationships/hyperlink" Target="mailto:dave.whitman@smithgroup.com?subject=Patrick%20Jones" TargetMode="External"/><Relationship Id="rId19" Type="http://schemas.openxmlformats.org/officeDocument/2006/relationships/hyperlink" Target="https://www.smithgroup.com/people/michael-johnson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ave.whitman@smithgroup.com?subject=Patrick%20Jones" TargetMode="External"/><Relationship Id="rId14" Type="http://schemas.openxmlformats.org/officeDocument/2006/relationships/hyperlink" Target="https://www.smithgroup.com/our-firm/locations/detroit" TargetMode="External"/><Relationship Id="rId22" Type="http://schemas.openxmlformats.org/officeDocument/2006/relationships/hyperlink" Target="https://www.smithgroup.com/projects/euclid-lakefront-master-plan-and-implementation" TargetMode="External"/><Relationship Id="rId27" Type="http://schemas.openxmlformats.org/officeDocument/2006/relationships/hyperlink" Target="https://www.smithgroup.com/company-fact-sheet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5d5b32f-95bb-47a3-94bd-9af9afffaab4" xsi:nil="true"/>
    <lcf76f155ced4ddcb4097134ff3c332f xmlns="55d5b32f-95bb-47a3-94bd-9af9afffaab4">
      <Terms xmlns="http://schemas.microsoft.com/office/infopath/2007/PartnerControls"/>
    </lcf76f155ced4ddcb4097134ff3c332f>
    <TaxCatchAll xmlns="60bae129-3a45-45c6-913e-8fb9de707d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64B3FAC0ADD43A45AF51F623681CF" ma:contentTypeVersion="17" ma:contentTypeDescription="Create a new document." ma:contentTypeScope="" ma:versionID="c10f8ebfbf18f2dca8c5ea65b81aac94">
  <xsd:schema xmlns:xsd="http://www.w3.org/2001/XMLSchema" xmlns:xs="http://www.w3.org/2001/XMLSchema" xmlns:p="http://schemas.microsoft.com/office/2006/metadata/properties" xmlns:ns2="55d5b32f-95bb-47a3-94bd-9af9afffaab4" xmlns:ns3="60bae129-3a45-45c6-913e-8fb9de707d07" targetNamespace="http://schemas.microsoft.com/office/2006/metadata/properties" ma:root="true" ma:fieldsID="e33d4edd03e2c42d70e423d3227ce1a9" ns2:_="" ns3:_="">
    <xsd:import namespace="55d5b32f-95bb-47a3-94bd-9af9afffaab4"/>
    <xsd:import namespace="60bae129-3a45-45c6-913e-8fb9de707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b32f-95bb-47a3-94bd-9af9afffa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c86f94-c883-4176-8f0c-868129b8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e129-3a45-45c6-913e-8fb9de707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29ebce8-78f0-4f39-ad40-05b6c39b609e}" ma:internalName="TaxCatchAll" ma:showField="CatchAllData" ma:web="60bae129-3a45-45c6-913e-8fb9de707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7A874-628F-4670-AE2D-5EAA25774616}">
  <ds:schemaRefs>
    <ds:schemaRef ds:uri="http://purl.org/dc/elements/1.1/"/>
    <ds:schemaRef ds:uri="http://purl.org/dc/dcmitype/"/>
    <ds:schemaRef ds:uri="55d5b32f-95bb-47a3-94bd-9af9afffaab4"/>
    <ds:schemaRef ds:uri="60bae129-3a45-45c6-913e-8fb9de707d07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545DA0-A1CF-4331-A178-EEA4ECABA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3CAC6-FB35-4E89-88F0-AE6F7DA4F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5b32f-95bb-47a3-94bd-9af9afffaab4"/>
    <ds:schemaRef ds:uri="60bae129-3a45-45c6-913e-8fb9de707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Veit</dc:creator>
  <cp:keywords/>
  <dc:description/>
  <cp:lastModifiedBy>Jaclyn Veit</cp:lastModifiedBy>
  <cp:revision>9</cp:revision>
  <dcterms:created xsi:type="dcterms:W3CDTF">2023-04-17T17:01:00Z</dcterms:created>
  <dcterms:modified xsi:type="dcterms:W3CDTF">2023-04-18T13:03:00Z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0x01010042E64B3FAC0ADD43A45AF51F623681CF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