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E235" w14:textId="6707F547" w:rsidR="00A75F3B" w:rsidRDefault="00A75F3B" w:rsidP="0328665D">
      <w:pPr>
        <w:ind w:firstLine="720"/>
        <w:rPr>
          <w:rFonts w:ascii="Arial" w:hAnsi="Arial" w:cs="Arial"/>
          <w:b/>
          <w:bCs/>
        </w:rPr>
      </w:pPr>
      <w:r>
        <w:rPr>
          <w:noProof/>
        </w:rPr>
        <w:drawing>
          <wp:inline distT="0" distB="0" distL="0" distR="0" wp14:anchorId="37598AEC" wp14:editId="7631E405">
            <wp:extent cx="5509507" cy="1376938"/>
            <wp:effectExtent l="0" t="0" r="0" b="0"/>
            <wp:docPr id="717491703"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1703" name="Picture 1" descr="A purpl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8886" cy="1394277"/>
                    </a:xfrm>
                    <a:prstGeom prst="rect">
                      <a:avLst/>
                    </a:prstGeom>
                  </pic:spPr>
                </pic:pic>
              </a:graphicData>
            </a:graphic>
          </wp:inline>
        </w:drawing>
      </w:r>
    </w:p>
    <w:p w14:paraId="5A6EC753" w14:textId="77777777" w:rsidR="005F74B9" w:rsidRDefault="00A75F3B" w:rsidP="005F74B9">
      <w:pPr>
        <w:spacing w:after="0"/>
        <w:rPr>
          <w:rFonts w:ascii="Arial" w:hAnsi="Arial" w:cs="Arial"/>
          <w:b/>
          <w:bCs/>
          <w:sz w:val="20"/>
          <w:szCs w:val="20"/>
        </w:rPr>
      </w:pPr>
      <w:r w:rsidRPr="001462F9">
        <w:rPr>
          <w:rFonts w:ascii="Arial" w:hAnsi="Arial" w:cs="Arial"/>
          <w:b/>
          <w:bCs/>
          <w:sz w:val="20"/>
          <w:szCs w:val="20"/>
        </w:rPr>
        <w:t>Contact:</w:t>
      </w:r>
    </w:p>
    <w:p w14:paraId="32E0E76C" w14:textId="0C8EB97E" w:rsidR="00545176" w:rsidRPr="005F74B9" w:rsidRDefault="00545176" w:rsidP="005F74B9">
      <w:pPr>
        <w:spacing w:after="0"/>
        <w:rPr>
          <w:rFonts w:ascii="Arial" w:hAnsi="Arial" w:cs="Arial"/>
          <w:b/>
          <w:bCs/>
          <w:sz w:val="20"/>
          <w:szCs w:val="20"/>
        </w:rPr>
      </w:pPr>
      <w:r w:rsidRPr="005F74B9">
        <w:rPr>
          <w:rFonts w:ascii="Arial" w:hAnsi="Arial" w:cs="Arial"/>
          <w:sz w:val="20"/>
          <w:szCs w:val="20"/>
        </w:rPr>
        <w:t xml:space="preserve">Sandy Gentry, Communications </w:t>
      </w:r>
      <w:r w:rsidR="00677F14" w:rsidRPr="005F74B9">
        <w:rPr>
          <w:rFonts w:ascii="Arial" w:hAnsi="Arial" w:cs="Arial"/>
          <w:sz w:val="20"/>
          <w:szCs w:val="20"/>
        </w:rPr>
        <w:t>Director</w:t>
      </w:r>
    </w:p>
    <w:p w14:paraId="529B789B" w14:textId="76D9B8CA" w:rsidR="00677F14" w:rsidRPr="005F74B9" w:rsidRDefault="00677F14" w:rsidP="005F74B9">
      <w:pPr>
        <w:spacing w:after="0" w:line="240" w:lineRule="auto"/>
        <w:rPr>
          <w:rFonts w:ascii="Arial" w:hAnsi="Arial" w:cs="Arial"/>
          <w:sz w:val="20"/>
          <w:szCs w:val="20"/>
        </w:rPr>
      </w:pPr>
      <w:r w:rsidRPr="005F74B9">
        <w:rPr>
          <w:rFonts w:ascii="Arial" w:hAnsi="Arial" w:cs="Arial"/>
          <w:sz w:val="20"/>
          <w:szCs w:val="20"/>
        </w:rPr>
        <w:t>Global Electronics Association</w:t>
      </w:r>
    </w:p>
    <w:p w14:paraId="13C87A75" w14:textId="64E83604" w:rsidR="00677F14" w:rsidRPr="005F74B9" w:rsidRDefault="005F74B9" w:rsidP="005F74B9">
      <w:pPr>
        <w:spacing w:after="0" w:line="240" w:lineRule="auto"/>
        <w:rPr>
          <w:rFonts w:ascii="Arial" w:hAnsi="Arial" w:cs="Arial"/>
          <w:sz w:val="20"/>
          <w:szCs w:val="20"/>
        </w:rPr>
      </w:pPr>
      <w:hyperlink r:id="rId10" w:history="1">
        <w:r w:rsidRPr="00FD0EA0">
          <w:rPr>
            <w:rStyle w:val="Hyperlink"/>
            <w:rFonts w:ascii="Arial" w:hAnsi="Arial" w:cs="Arial"/>
            <w:sz w:val="20"/>
            <w:szCs w:val="20"/>
          </w:rPr>
          <w:t>SandyGentry@electronics.org</w:t>
        </w:r>
      </w:hyperlink>
      <w:r w:rsidR="00677F14" w:rsidRPr="005F74B9">
        <w:rPr>
          <w:rFonts w:ascii="Arial" w:hAnsi="Arial" w:cs="Arial"/>
          <w:sz w:val="20"/>
          <w:szCs w:val="20"/>
        </w:rPr>
        <w:t xml:space="preserve">+1 847-597-2871 </w:t>
      </w:r>
    </w:p>
    <w:p w14:paraId="6CB58ADB" w14:textId="77777777" w:rsidR="005F74B9" w:rsidRDefault="005F74B9" w:rsidP="00A75F3B">
      <w:pPr>
        <w:rPr>
          <w:rFonts w:ascii="Arial" w:hAnsi="Arial" w:cs="Arial"/>
          <w:b/>
          <w:bCs/>
          <w:sz w:val="20"/>
          <w:szCs w:val="20"/>
        </w:rPr>
      </w:pPr>
    </w:p>
    <w:p w14:paraId="15FF176D" w14:textId="48D9F5BF" w:rsidR="00A75F3B" w:rsidRPr="00A75F3B" w:rsidRDefault="00A75F3B" w:rsidP="00A75F3B">
      <w:pPr>
        <w:rPr>
          <w:rFonts w:ascii="Arial" w:hAnsi="Arial" w:cs="Arial"/>
          <w:sz w:val="20"/>
          <w:szCs w:val="20"/>
        </w:rPr>
      </w:pPr>
      <w:r w:rsidRPr="00A75F3B">
        <w:rPr>
          <w:rFonts w:ascii="Arial" w:hAnsi="Arial" w:cs="Arial"/>
          <w:b/>
          <w:bCs/>
          <w:sz w:val="20"/>
          <w:szCs w:val="20"/>
        </w:rPr>
        <w:t>FOR IMMEDIATE RELEASE</w:t>
      </w:r>
    </w:p>
    <w:p w14:paraId="76326FC2" w14:textId="4F7CD532" w:rsidR="00A75F3B" w:rsidRPr="005F74B9" w:rsidRDefault="00A75F3B" w:rsidP="00A75F3B">
      <w:pPr>
        <w:jc w:val="center"/>
        <w:rPr>
          <w:rFonts w:ascii="Arial" w:hAnsi="Arial" w:cs="Arial"/>
          <w:b/>
          <w:bCs/>
        </w:rPr>
      </w:pPr>
      <w:r w:rsidRPr="005F74B9">
        <w:rPr>
          <w:rFonts w:ascii="Arial" w:hAnsi="Arial" w:cs="Arial"/>
          <w:b/>
          <w:bCs/>
        </w:rPr>
        <w:t xml:space="preserve">The Global Electronics Association Launches Double Materiality Assessment Toolkit to Support </w:t>
      </w:r>
      <w:r w:rsidR="00554A28" w:rsidRPr="005F74B9">
        <w:rPr>
          <w:rFonts w:ascii="Arial" w:hAnsi="Arial" w:cs="Arial"/>
          <w:b/>
          <w:bCs/>
        </w:rPr>
        <w:t xml:space="preserve">the </w:t>
      </w:r>
      <w:r w:rsidRPr="005F74B9">
        <w:rPr>
          <w:rFonts w:ascii="Arial" w:hAnsi="Arial" w:cs="Arial"/>
          <w:b/>
          <w:bCs/>
        </w:rPr>
        <w:t xml:space="preserve">Electronics </w:t>
      </w:r>
      <w:r w:rsidR="00554A28" w:rsidRPr="005F74B9">
        <w:rPr>
          <w:rFonts w:ascii="Arial" w:hAnsi="Arial" w:cs="Arial"/>
          <w:b/>
          <w:bCs/>
        </w:rPr>
        <w:t>Industry</w:t>
      </w:r>
      <w:r w:rsidRPr="005F74B9">
        <w:rPr>
          <w:rFonts w:ascii="Arial" w:hAnsi="Arial" w:cs="Arial"/>
          <w:b/>
          <w:bCs/>
        </w:rPr>
        <w:t xml:space="preserve"> with </w:t>
      </w:r>
      <w:r w:rsidR="00554A28" w:rsidRPr="005F74B9">
        <w:rPr>
          <w:rFonts w:ascii="Arial" w:hAnsi="Arial" w:cs="Arial"/>
          <w:b/>
          <w:bCs/>
        </w:rPr>
        <w:t>Sustainability Reporting</w:t>
      </w:r>
      <w:r w:rsidRPr="005F74B9">
        <w:rPr>
          <w:rFonts w:ascii="Arial" w:hAnsi="Arial" w:cs="Arial"/>
          <w:b/>
          <w:bCs/>
        </w:rPr>
        <w:t xml:space="preserve"> Compliance</w:t>
      </w:r>
    </w:p>
    <w:p w14:paraId="07F66A67" w14:textId="00658F98" w:rsidR="00A75F3B" w:rsidRPr="00A75F3B" w:rsidRDefault="005F74B9" w:rsidP="03D5FE4A">
      <w:pPr>
        <w:rPr>
          <w:rFonts w:ascii="Arial" w:eastAsia="Arial" w:hAnsi="Arial" w:cs="Arial"/>
        </w:rPr>
      </w:pPr>
      <w:r>
        <w:rPr>
          <w:rFonts w:ascii="Arial" w:hAnsi="Arial" w:cs="Arial"/>
          <w:b/>
          <w:bCs/>
        </w:rPr>
        <w:t xml:space="preserve">BANNOCKBURN, Ill., USA, November </w:t>
      </w:r>
      <w:r w:rsidR="00784C5E">
        <w:rPr>
          <w:rFonts w:ascii="Arial" w:hAnsi="Arial" w:cs="Arial"/>
          <w:b/>
          <w:bCs/>
        </w:rPr>
        <w:t>20</w:t>
      </w:r>
      <w:r>
        <w:rPr>
          <w:rFonts w:ascii="Arial" w:hAnsi="Arial" w:cs="Arial"/>
          <w:b/>
          <w:bCs/>
        </w:rPr>
        <w:t>, 2025</w:t>
      </w:r>
      <w:r w:rsidR="00A75F3B" w:rsidRPr="03D5FE4A">
        <w:rPr>
          <w:rFonts w:ascii="Arial" w:hAnsi="Arial" w:cs="Arial"/>
        </w:rPr>
        <w:t xml:space="preserve"> — T</w:t>
      </w:r>
      <w:r w:rsidR="006B71DC" w:rsidRPr="03D5FE4A">
        <w:rPr>
          <w:rFonts w:ascii="Arial" w:hAnsi="Arial" w:cs="Arial"/>
        </w:rPr>
        <w:t>oday, t</w:t>
      </w:r>
      <w:r w:rsidR="00A75F3B" w:rsidRPr="03D5FE4A">
        <w:rPr>
          <w:rFonts w:ascii="Arial" w:hAnsi="Arial" w:cs="Arial"/>
        </w:rPr>
        <w:t xml:space="preserve">he </w:t>
      </w:r>
      <w:hyperlink r:id="rId11">
        <w:r w:rsidR="00A75F3B" w:rsidRPr="03D5FE4A">
          <w:rPr>
            <w:rStyle w:val="Hyperlink"/>
            <w:rFonts w:ascii="Arial" w:hAnsi="Arial" w:cs="Arial"/>
          </w:rPr>
          <w:t>Global Electronics Association</w:t>
        </w:r>
      </w:hyperlink>
      <w:r w:rsidR="00A75F3B" w:rsidRPr="03D5FE4A">
        <w:rPr>
          <w:rFonts w:ascii="Arial" w:hAnsi="Arial" w:cs="Arial"/>
        </w:rPr>
        <w:t xml:space="preserve"> announced the release of its Double Materiality Assessment (DMA) Toolkit, designed to help companies efficiently navigate the complex </w:t>
      </w:r>
      <w:r w:rsidR="006B71DC" w:rsidRPr="03D5FE4A">
        <w:rPr>
          <w:rFonts w:ascii="Arial" w:hAnsi="Arial" w:cs="Arial"/>
        </w:rPr>
        <w:t xml:space="preserve">reporting </w:t>
      </w:r>
      <w:r w:rsidR="00A75F3B" w:rsidRPr="03D5FE4A">
        <w:rPr>
          <w:rFonts w:ascii="Arial" w:hAnsi="Arial" w:cs="Arial"/>
        </w:rPr>
        <w:t xml:space="preserve">requirements of the Corporate Sustainability Reporting Directive (CSRD). </w:t>
      </w:r>
      <w:r w:rsidR="48EAB3A5" w:rsidRPr="03D5FE4A">
        <w:rPr>
          <w:rFonts w:ascii="Arial" w:eastAsia="Arial" w:hAnsi="Arial" w:cs="Arial"/>
        </w:rPr>
        <w:t>Although the CSRD is an EU regulation, its requirements have global implications</w:t>
      </w:r>
      <w:r w:rsidR="00B1269D">
        <w:rPr>
          <w:rFonts w:ascii="Arial" w:eastAsia="Arial" w:hAnsi="Arial" w:cs="Arial"/>
        </w:rPr>
        <w:t>. C</w:t>
      </w:r>
      <w:r w:rsidR="48EAB3A5" w:rsidRPr="03D5FE4A">
        <w:rPr>
          <w:rFonts w:ascii="Arial" w:eastAsia="Arial" w:hAnsi="Arial" w:cs="Arial"/>
        </w:rPr>
        <w:t>ompanies with operations, subsidiaries, or significant sales in Europe, and their worldwide supply chains, must</w:t>
      </w:r>
      <w:r w:rsidR="00B1269D">
        <w:rPr>
          <w:rFonts w:ascii="Arial" w:eastAsia="Arial" w:hAnsi="Arial" w:cs="Arial"/>
        </w:rPr>
        <w:t xml:space="preserve"> also</w:t>
      </w:r>
      <w:r w:rsidR="48EAB3A5" w:rsidRPr="03D5FE4A">
        <w:rPr>
          <w:rFonts w:ascii="Arial" w:eastAsia="Arial" w:hAnsi="Arial" w:cs="Arial"/>
        </w:rPr>
        <w:t xml:space="preserve"> meet its rigorous sustainability reporting standards.</w:t>
      </w:r>
    </w:p>
    <w:p w14:paraId="6DF066AD" w14:textId="1B7E8084" w:rsidR="0B265647" w:rsidRDefault="0043326C" w:rsidP="03D5FE4A">
      <w:pPr>
        <w:rPr>
          <w:rFonts w:ascii="Arial" w:hAnsi="Arial" w:cs="Arial"/>
        </w:rPr>
      </w:pPr>
      <w:r w:rsidRPr="03D5FE4A">
        <w:rPr>
          <w:rFonts w:ascii="Arial" w:hAnsi="Arial" w:cs="Arial"/>
        </w:rPr>
        <w:t>T</w:t>
      </w:r>
      <w:r w:rsidR="00A75F3B" w:rsidRPr="03D5FE4A">
        <w:rPr>
          <w:rFonts w:ascii="Arial" w:hAnsi="Arial" w:cs="Arial"/>
        </w:rPr>
        <w:t>he European Union’s CSRD</w:t>
      </w:r>
      <w:r w:rsidRPr="03D5FE4A">
        <w:rPr>
          <w:rFonts w:ascii="Arial" w:hAnsi="Arial" w:cs="Arial"/>
        </w:rPr>
        <w:t xml:space="preserve"> requires</w:t>
      </w:r>
      <w:r w:rsidR="00A75F3B" w:rsidRPr="03D5FE4A">
        <w:rPr>
          <w:rFonts w:ascii="Arial" w:hAnsi="Arial" w:cs="Arial"/>
        </w:rPr>
        <w:t xml:space="preserve"> companies</w:t>
      </w:r>
      <w:r w:rsidRPr="03D5FE4A">
        <w:rPr>
          <w:rFonts w:ascii="Arial" w:hAnsi="Arial" w:cs="Arial"/>
        </w:rPr>
        <w:t xml:space="preserve"> to</w:t>
      </w:r>
      <w:r w:rsidR="00A75F3B" w:rsidRPr="03D5FE4A">
        <w:rPr>
          <w:rFonts w:ascii="Arial" w:hAnsi="Arial" w:cs="Arial"/>
        </w:rPr>
        <w:t xml:space="preserve"> conduct </w:t>
      </w:r>
      <w:r w:rsidRPr="03D5FE4A">
        <w:rPr>
          <w:rFonts w:ascii="Arial" w:hAnsi="Arial" w:cs="Arial"/>
        </w:rPr>
        <w:t xml:space="preserve">in-depth </w:t>
      </w:r>
      <w:r w:rsidR="006B71DC" w:rsidRPr="03D5FE4A">
        <w:rPr>
          <w:rFonts w:ascii="Arial" w:hAnsi="Arial" w:cs="Arial"/>
        </w:rPr>
        <w:t xml:space="preserve">DMAs that </w:t>
      </w:r>
      <w:r w:rsidR="008A0183" w:rsidRPr="03D5FE4A">
        <w:rPr>
          <w:rFonts w:ascii="Arial" w:hAnsi="Arial" w:cs="Arial"/>
        </w:rPr>
        <w:t xml:space="preserve">measure </w:t>
      </w:r>
      <w:r w:rsidR="001657E1" w:rsidRPr="03D5FE4A">
        <w:rPr>
          <w:rFonts w:ascii="Arial" w:hAnsi="Arial" w:cs="Arial"/>
        </w:rPr>
        <w:t xml:space="preserve">corporate </w:t>
      </w:r>
      <w:r w:rsidR="008A0183" w:rsidRPr="03D5FE4A">
        <w:rPr>
          <w:rFonts w:ascii="Arial" w:hAnsi="Arial" w:cs="Arial"/>
        </w:rPr>
        <w:t xml:space="preserve">sustainability impacts from </w:t>
      </w:r>
      <w:r w:rsidR="0EA579F2" w:rsidRPr="03D5FE4A">
        <w:rPr>
          <w:rFonts w:ascii="Arial" w:hAnsi="Arial" w:cs="Arial"/>
        </w:rPr>
        <w:t xml:space="preserve">1) </w:t>
      </w:r>
      <w:r w:rsidR="00352166" w:rsidRPr="03D5FE4A">
        <w:rPr>
          <w:rFonts w:ascii="Arial" w:hAnsi="Arial" w:cs="Arial"/>
        </w:rPr>
        <w:t>impact o</w:t>
      </w:r>
      <w:r w:rsidR="210B32ED" w:rsidRPr="03D5FE4A">
        <w:rPr>
          <w:rFonts w:ascii="Arial" w:hAnsi="Arial" w:cs="Arial"/>
        </w:rPr>
        <w:t>n</w:t>
      </w:r>
      <w:r w:rsidR="034DCF32" w:rsidRPr="03D5FE4A">
        <w:rPr>
          <w:rFonts w:ascii="Arial" w:hAnsi="Arial" w:cs="Arial"/>
        </w:rPr>
        <w:t xml:space="preserve"> </w:t>
      </w:r>
      <w:r w:rsidR="00352166" w:rsidRPr="03D5FE4A">
        <w:rPr>
          <w:rFonts w:ascii="Arial" w:hAnsi="Arial" w:cs="Arial"/>
        </w:rPr>
        <w:t xml:space="preserve">the planet </w:t>
      </w:r>
      <w:r w:rsidR="567C0645" w:rsidRPr="03D5FE4A">
        <w:rPr>
          <w:rFonts w:ascii="Arial" w:hAnsi="Arial" w:cs="Arial"/>
        </w:rPr>
        <w:t xml:space="preserve">and 2) </w:t>
      </w:r>
      <w:r w:rsidR="00352166" w:rsidRPr="03D5FE4A">
        <w:rPr>
          <w:rFonts w:ascii="Arial" w:hAnsi="Arial" w:cs="Arial"/>
        </w:rPr>
        <w:t xml:space="preserve">impact of environmental and social issues on </w:t>
      </w:r>
      <w:r w:rsidR="001657E1" w:rsidRPr="03D5FE4A">
        <w:rPr>
          <w:rFonts w:ascii="Arial" w:hAnsi="Arial" w:cs="Arial"/>
        </w:rPr>
        <w:t xml:space="preserve">company </w:t>
      </w:r>
      <w:r w:rsidR="00352166" w:rsidRPr="03D5FE4A">
        <w:rPr>
          <w:rFonts w:ascii="Arial" w:hAnsi="Arial" w:cs="Arial"/>
        </w:rPr>
        <w:t xml:space="preserve">finances. </w:t>
      </w:r>
      <w:r w:rsidR="00A75F3B" w:rsidRPr="03D5FE4A">
        <w:rPr>
          <w:rFonts w:ascii="Arial" w:hAnsi="Arial" w:cs="Arial"/>
        </w:rPr>
        <w:t xml:space="preserve">For electronics </w:t>
      </w:r>
      <w:r w:rsidR="005039CD">
        <w:rPr>
          <w:rFonts w:ascii="Arial" w:hAnsi="Arial" w:cs="Arial"/>
        </w:rPr>
        <w:t>companies</w:t>
      </w:r>
      <w:r w:rsidR="00A75F3B" w:rsidRPr="03D5FE4A">
        <w:rPr>
          <w:rFonts w:ascii="Arial" w:hAnsi="Arial" w:cs="Arial"/>
        </w:rPr>
        <w:t xml:space="preserve">, the </w:t>
      </w:r>
      <w:r w:rsidR="00B1269D">
        <w:rPr>
          <w:rFonts w:ascii="Arial" w:hAnsi="Arial" w:cs="Arial"/>
        </w:rPr>
        <w:t xml:space="preserve">DMA </w:t>
      </w:r>
      <w:r w:rsidR="00A75F3B" w:rsidRPr="03D5FE4A">
        <w:rPr>
          <w:rFonts w:ascii="Arial" w:hAnsi="Arial" w:cs="Arial"/>
        </w:rPr>
        <w:t>process is particularly complex due to the industry’s interconnected global supply chains and specialized sustainability challenges.</w:t>
      </w:r>
      <w:r w:rsidR="005259D5" w:rsidRPr="03D5FE4A">
        <w:rPr>
          <w:rFonts w:ascii="Arial" w:hAnsi="Arial" w:cs="Arial"/>
        </w:rPr>
        <w:t xml:space="preserve"> With limited time and resources, many </w:t>
      </w:r>
      <w:r w:rsidR="0053027E" w:rsidRPr="03D5FE4A">
        <w:rPr>
          <w:rFonts w:ascii="Arial" w:hAnsi="Arial" w:cs="Arial"/>
        </w:rPr>
        <w:t xml:space="preserve">electronics </w:t>
      </w:r>
      <w:r w:rsidR="005039CD">
        <w:rPr>
          <w:rFonts w:ascii="Arial" w:hAnsi="Arial" w:cs="Arial"/>
        </w:rPr>
        <w:t>companies</w:t>
      </w:r>
      <w:r w:rsidR="005259D5" w:rsidRPr="03D5FE4A">
        <w:rPr>
          <w:rFonts w:ascii="Arial" w:hAnsi="Arial" w:cs="Arial"/>
        </w:rPr>
        <w:t xml:space="preserve"> risk noncompliance or incomplete assessments</w:t>
      </w:r>
      <w:r w:rsidR="6B480817" w:rsidRPr="03D5FE4A">
        <w:rPr>
          <w:rFonts w:ascii="Arial" w:hAnsi="Arial" w:cs="Arial"/>
        </w:rPr>
        <w:t xml:space="preserve">, </w:t>
      </w:r>
      <w:r w:rsidR="5BBE31D8" w:rsidRPr="03D5FE4A">
        <w:rPr>
          <w:rFonts w:ascii="Arial" w:hAnsi="Arial" w:cs="Arial"/>
        </w:rPr>
        <w:t>potentially resulting in</w:t>
      </w:r>
      <w:r w:rsidR="6FD2F12A" w:rsidRPr="03D5FE4A">
        <w:rPr>
          <w:rFonts w:ascii="Arial" w:hAnsi="Arial" w:cs="Arial"/>
        </w:rPr>
        <w:t xml:space="preserve"> </w:t>
      </w:r>
      <w:r w:rsidR="6FD2F12A" w:rsidRPr="03D5FE4A">
        <w:rPr>
          <w:rFonts w:ascii="Arial" w:eastAsia="Arial" w:hAnsi="Arial" w:cs="Arial"/>
        </w:rPr>
        <w:t>regulatory penalties, reputational harm, or loss of investor confidence.</w:t>
      </w:r>
    </w:p>
    <w:p w14:paraId="406948D8" w14:textId="16CFAF5E" w:rsidR="001657E1" w:rsidRDefault="12E91F86" w:rsidP="00352166">
      <w:pPr>
        <w:rPr>
          <w:rFonts w:ascii="Arial" w:hAnsi="Arial" w:cs="Arial"/>
        </w:rPr>
      </w:pPr>
      <w:r w:rsidRPr="03D5FE4A">
        <w:rPr>
          <w:rFonts w:ascii="Arial" w:hAnsi="Arial" w:cs="Arial"/>
        </w:rPr>
        <w:t xml:space="preserve">Complementing the </w:t>
      </w:r>
      <w:r w:rsidR="00B1269D">
        <w:rPr>
          <w:rFonts w:ascii="Arial" w:hAnsi="Arial" w:cs="Arial"/>
        </w:rPr>
        <w:t xml:space="preserve">DMA </w:t>
      </w:r>
      <w:r w:rsidRPr="03D5FE4A">
        <w:rPr>
          <w:rFonts w:ascii="Arial" w:hAnsi="Arial" w:cs="Arial"/>
        </w:rPr>
        <w:t xml:space="preserve">Toolkit is the newly launched </w:t>
      </w:r>
      <w:r w:rsidR="001657E1" w:rsidRPr="03D5FE4A">
        <w:rPr>
          <w:rFonts w:ascii="Arial" w:hAnsi="Arial" w:cs="Arial"/>
        </w:rPr>
        <w:t>Materiality Resource Hub</w:t>
      </w:r>
      <w:r w:rsidR="0A846ED4" w:rsidRPr="03D5FE4A">
        <w:rPr>
          <w:rFonts w:ascii="Arial" w:hAnsi="Arial" w:cs="Arial"/>
        </w:rPr>
        <w:t>,</w:t>
      </w:r>
      <w:r w:rsidR="001657E1" w:rsidRPr="03D5FE4A">
        <w:rPr>
          <w:rFonts w:ascii="Arial" w:hAnsi="Arial" w:cs="Arial"/>
        </w:rPr>
        <w:t xml:space="preserve"> providing practical, sector-specific guidance to support reporting and improve decision-making across the entire electronics supply chain.</w:t>
      </w:r>
    </w:p>
    <w:p w14:paraId="4CE57315" w14:textId="77777777" w:rsidR="00EB26C6" w:rsidRDefault="00EB26C6" w:rsidP="00A75F3B">
      <w:pPr>
        <w:rPr>
          <w:rFonts w:ascii="Arial" w:hAnsi="Arial" w:cs="Arial"/>
        </w:rPr>
      </w:pPr>
      <w:r>
        <w:rPr>
          <w:rFonts w:ascii="Arial" w:hAnsi="Arial" w:cs="Arial"/>
        </w:rPr>
        <w:t xml:space="preserve">The Global Electronics Association’s DMA Toolkit – built for stakeholders from sustainability and compliance teams to senior leaders involved with reporting – provides comprehensive, industry-specific guidance to accelerate CSRD-aligned reporting and reduces the burden of starting from scratch and the risk of missing vital material issues, ensuring a complete assessment. </w:t>
      </w:r>
    </w:p>
    <w:p w14:paraId="09BB9B31" w14:textId="48CF1F02" w:rsidR="005259D5" w:rsidRDefault="005259D5" w:rsidP="00A75F3B">
      <w:pPr>
        <w:rPr>
          <w:rFonts w:ascii="Arial" w:hAnsi="Arial" w:cs="Arial"/>
        </w:rPr>
      </w:pPr>
      <w:r w:rsidRPr="00A75F3B">
        <w:rPr>
          <w:rFonts w:ascii="Arial" w:hAnsi="Arial" w:cs="Arial"/>
        </w:rPr>
        <w:lastRenderedPageBreak/>
        <w:t xml:space="preserve">Developed in collaboration with Anthesis Group and informed by industry sources and member insights, the </w:t>
      </w:r>
      <w:r>
        <w:rPr>
          <w:rFonts w:ascii="Arial" w:hAnsi="Arial" w:cs="Arial"/>
        </w:rPr>
        <w:t>T</w:t>
      </w:r>
      <w:r w:rsidRPr="00A75F3B">
        <w:rPr>
          <w:rFonts w:ascii="Arial" w:hAnsi="Arial" w:cs="Arial"/>
        </w:rPr>
        <w:t xml:space="preserve">oolkit aligns directly with </w:t>
      </w:r>
      <w:r>
        <w:rPr>
          <w:rFonts w:ascii="Arial" w:hAnsi="Arial" w:cs="Arial"/>
        </w:rPr>
        <w:t xml:space="preserve">the European Financial Reporting Advisory Group (EFRAG) </w:t>
      </w:r>
      <w:r w:rsidRPr="00A75F3B">
        <w:rPr>
          <w:rFonts w:ascii="Arial" w:hAnsi="Arial" w:cs="Arial"/>
        </w:rPr>
        <w:t>methodologies and CSRD expectations.</w:t>
      </w:r>
      <w:r>
        <w:rPr>
          <w:rFonts w:ascii="Arial" w:hAnsi="Arial" w:cs="Arial"/>
        </w:rPr>
        <w:t xml:space="preserve"> </w:t>
      </w:r>
    </w:p>
    <w:p w14:paraId="49416109" w14:textId="3E9EC716" w:rsidR="00BB11BC" w:rsidRPr="00A75F3B" w:rsidRDefault="3A48EC33" w:rsidP="00BB11BC">
      <w:pPr>
        <w:rPr>
          <w:rFonts w:ascii="Arial" w:hAnsi="Arial" w:cs="Arial"/>
        </w:rPr>
      </w:pPr>
      <w:r w:rsidRPr="03D5FE4A">
        <w:rPr>
          <w:rFonts w:ascii="Arial" w:hAnsi="Arial" w:cs="Arial"/>
        </w:rPr>
        <w:t>The DMA</w:t>
      </w:r>
      <w:r w:rsidR="00D8355A" w:rsidRPr="03D5FE4A">
        <w:rPr>
          <w:rFonts w:ascii="Arial" w:hAnsi="Arial" w:cs="Arial"/>
        </w:rPr>
        <w:t xml:space="preserve"> Toolkit covers environmental, human rights, and governance issues across the entire electronics </w:t>
      </w:r>
      <w:r w:rsidR="008A0183" w:rsidRPr="03D5FE4A">
        <w:rPr>
          <w:rFonts w:ascii="Arial" w:hAnsi="Arial" w:cs="Arial"/>
        </w:rPr>
        <w:t xml:space="preserve">supply </w:t>
      </w:r>
      <w:r w:rsidR="00D8355A" w:rsidRPr="03D5FE4A">
        <w:rPr>
          <w:rFonts w:ascii="Arial" w:hAnsi="Arial" w:cs="Arial"/>
        </w:rPr>
        <w:t xml:space="preserve">chain – from raw material extraction to waste management; labor practices to data security – and </w:t>
      </w:r>
      <w:r w:rsidR="00BB11BC" w:rsidRPr="03D5FE4A">
        <w:rPr>
          <w:rFonts w:ascii="Arial" w:hAnsi="Arial" w:cs="Arial"/>
        </w:rPr>
        <w:t>includes:</w:t>
      </w:r>
    </w:p>
    <w:p w14:paraId="6C346B76" w14:textId="5F151068" w:rsidR="00BB11BC" w:rsidRPr="00A75F3B" w:rsidRDefault="008E23BE" w:rsidP="00BB11BC">
      <w:pPr>
        <w:numPr>
          <w:ilvl w:val="0"/>
          <w:numId w:val="2"/>
        </w:numPr>
        <w:rPr>
          <w:rFonts w:ascii="Arial" w:hAnsi="Arial" w:cs="Arial"/>
        </w:rPr>
      </w:pPr>
      <w:r>
        <w:rPr>
          <w:rFonts w:ascii="Arial" w:hAnsi="Arial" w:cs="Arial"/>
          <w:b/>
          <w:bCs/>
        </w:rPr>
        <w:t>DMA</w:t>
      </w:r>
      <w:r w:rsidRPr="00A75F3B">
        <w:rPr>
          <w:rFonts w:ascii="Arial" w:hAnsi="Arial" w:cs="Arial"/>
          <w:b/>
          <w:bCs/>
        </w:rPr>
        <w:t xml:space="preserve"> </w:t>
      </w:r>
      <w:r w:rsidR="00BB11BC" w:rsidRPr="00A75F3B">
        <w:rPr>
          <w:rFonts w:ascii="Arial" w:hAnsi="Arial" w:cs="Arial"/>
          <w:b/>
          <w:bCs/>
        </w:rPr>
        <w:t>Project Plan</w:t>
      </w:r>
      <w:r w:rsidR="00BB11BC">
        <w:rPr>
          <w:rFonts w:ascii="Arial" w:hAnsi="Arial" w:cs="Arial"/>
        </w:rPr>
        <w:t xml:space="preserve"> </w:t>
      </w:r>
      <w:r w:rsidR="005A34C5" w:rsidRPr="00A75F3B">
        <w:rPr>
          <w:rFonts w:ascii="Arial" w:hAnsi="Arial" w:cs="Arial"/>
        </w:rPr>
        <w:t>— A</w:t>
      </w:r>
      <w:r w:rsidR="00BB11BC">
        <w:rPr>
          <w:rFonts w:ascii="Arial" w:hAnsi="Arial" w:cs="Arial"/>
        </w:rPr>
        <w:t xml:space="preserve"> </w:t>
      </w:r>
      <w:r w:rsidR="00BB11BC" w:rsidRPr="00A75F3B">
        <w:rPr>
          <w:rFonts w:ascii="Arial" w:hAnsi="Arial" w:cs="Arial"/>
        </w:rPr>
        <w:t>six-month roadmap, stakeholder engagement templates, and recommended team structures.</w:t>
      </w:r>
    </w:p>
    <w:p w14:paraId="7D9B99A2" w14:textId="10C3E93B" w:rsidR="00BB11BC" w:rsidRPr="00A75F3B" w:rsidRDefault="004869D1" w:rsidP="008E23BE">
      <w:pPr>
        <w:numPr>
          <w:ilvl w:val="0"/>
          <w:numId w:val="2"/>
        </w:numPr>
        <w:rPr>
          <w:rFonts w:ascii="Arial" w:hAnsi="Arial" w:cs="Arial"/>
        </w:rPr>
      </w:pPr>
      <w:r>
        <w:rPr>
          <w:rFonts w:ascii="Arial" w:hAnsi="Arial" w:cs="Arial"/>
          <w:b/>
          <w:bCs/>
        </w:rPr>
        <w:t>Sustainability</w:t>
      </w:r>
      <w:r w:rsidR="00BB11BC" w:rsidRPr="00A75F3B">
        <w:rPr>
          <w:rFonts w:ascii="Arial" w:hAnsi="Arial" w:cs="Arial"/>
          <w:b/>
          <w:bCs/>
        </w:rPr>
        <w:t xml:space="preserve"> </w:t>
      </w:r>
      <w:r w:rsidR="00BB11BC">
        <w:rPr>
          <w:rFonts w:ascii="Arial" w:hAnsi="Arial" w:cs="Arial"/>
          <w:b/>
          <w:bCs/>
        </w:rPr>
        <w:t xml:space="preserve">Context </w:t>
      </w:r>
      <w:r w:rsidR="00BB11BC" w:rsidRPr="006E2923">
        <w:rPr>
          <w:rFonts w:ascii="Arial" w:hAnsi="Arial" w:cs="Arial"/>
          <w:b/>
          <w:bCs/>
        </w:rPr>
        <w:t>Report</w:t>
      </w:r>
      <w:r w:rsidR="00BB11BC" w:rsidRPr="005F74B9">
        <w:rPr>
          <w:rFonts w:ascii="Arial" w:hAnsi="Arial" w:cs="Arial"/>
          <w:b/>
          <w:bCs/>
        </w:rPr>
        <w:t xml:space="preserve"> </w:t>
      </w:r>
      <w:r w:rsidRPr="005F74B9">
        <w:rPr>
          <w:rFonts w:ascii="Arial" w:hAnsi="Arial" w:cs="Arial"/>
          <w:b/>
          <w:bCs/>
        </w:rPr>
        <w:t>for the Electr</w:t>
      </w:r>
      <w:r w:rsidR="006E2923" w:rsidRPr="005F74B9">
        <w:rPr>
          <w:rFonts w:ascii="Arial" w:hAnsi="Arial" w:cs="Arial"/>
          <w:b/>
          <w:bCs/>
        </w:rPr>
        <w:t>onics Industry</w:t>
      </w:r>
      <w:r w:rsidR="006E2923">
        <w:rPr>
          <w:rFonts w:ascii="Arial" w:hAnsi="Arial" w:cs="Arial"/>
        </w:rPr>
        <w:t xml:space="preserve"> </w:t>
      </w:r>
      <w:r w:rsidR="00BB11BC" w:rsidRPr="00A75F3B">
        <w:rPr>
          <w:rFonts w:ascii="Arial" w:hAnsi="Arial" w:cs="Arial"/>
        </w:rPr>
        <w:t xml:space="preserve">— </w:t>
      </w:r>
      <w:r w:rsidR="001657E1">
        <w:rPr>
          <w:rFonts w:ascii="Arial" w:hAnsi="Arial" w:cs="Arial"/>
        </w:rPr>
        <w:t>S</w:t>
      </w:r>
      <w:r w:rsidR="00BB11BC" w:rsidRPr="00A75F3B">
        <w:rPr>
          <w:rFonts w:ascii="Arial" w:hAnsi="Arial" w:cs="Arial"/>
        </w:rPr>
        <w:t>ustainability landscape analysis for the global electronics sector, including pre-identified material issues mapped to European Sustainability Reporting Standards (ESRS) topics and subtopics.</w:t>
      </w:r>
      <w:r w:rsidR="008E23BE">
        <w:rPr>
          <w:rFonts w:ascii="Arial" w:hAnsi="Arial" w:cs="Arial"/>
        </w:rPr>
        <w:t xml:space="preserve"> This Context Report includes </w:t>
      </w:r>
      <w:r w:rsidR="00BB11BC" w:rsidRPr="00A75F3B">
        <w:rPr>
          <w:rFonts w:ascii="Arial" w:hAnsi="Arial" w:cs="Arial"/>
        </w:rPr>
        <w:t>insights for</w:t>
      </w:r>
      <w:r w:rsidR="00BB11BC">
        <w:rPr>
          <w:rFonts w:ascii="Arial" w:hAnsi="Arial" w:cs="Arial"/>
        </w:rPr>
        <w:t xml:space="preserve"> </w:t>
      </w:r>
      <w:r w:rsidR="008E23BE">
        <w:rPr>
          <w:rFonts w:ascii="Arial" w:hAnsi="Arial" w:cs="Arial"/>
        </w:rPr>
        <w:t xml:space="preserve">the </w:t>
      </w:r>
      <w:r w:rsidR="00F57C1F">
        <w:rPr>
          <w:rFonts w:ascii="Arial" w:hAnsi="Arial" w:cs="Arial"/>
        </w:rPr>
        <w:t xml:space="preserve">sustainability leaders in the </w:t>
      </w:r>
      <w:r w:rsidR="008E23BE">
        <w:rPr>
          <w:rFonts w:ascii="Arial" w:hAnsi="Arial" w:cs="Arial"/>
        </w:rPr>
        <w:t xml:space="preserve">primary sub-industries from </w:t>
      </w:r>
      <w:r w:rsidR="00D73F6F">
        <w:rPr>
          <w:rFonts w:ascii="Arial" w:hAnsi="Arial" w:cs="Arial"/>
        </w:rPr>
        <w:t>original equipment manufacturers (OEM)</w:t>
      </w:r>
      <w:r w:rsidR="00037840">
        <w:rPr>
          <w:rFonts w:ascii="Arial" w:hAnsi="Arial" w:cs="Arial"/>
        </w:rPr>
        <w:t xml:space="preserve"> upstream to p</w:t>
      </w:r>
      <w:r w:rsidR="008E23BE">
        <w:rPr>
          <w:rFonts w:ascii="Arial" w:hAnsi="Arial" w:cs="Arial"/>
        </w:rPr>
        <w:t>rinted circuit board (PCB) fabricators</w:t>
      </w:r>
      <w:r w:rsidR="00037840">
        <w:rPr>
          <w:rFonts w:ascii="Arial" w:hAnsi="Arial" w:cs="Arial"/>
        </w:rPr>
        <w:t>.</w:t>
      </w:r>
      <w:r w:rsidR="008E23BE">
        <w:rPr>
          <w:rFonts w:ascii="Arial" w:hAnsi="Arial" w:cs="Arial"/>
        </w:rPr>
        <w:t xml:space="preserve"> </w:t>
      </w:r>
    </w:p>
    <w:p w14:paraId="2095BA3A" w14:textId="48670E8A" w:rsidR="00BB11BC" w:rsidRPr="00BB11BC" w:rsidRDefault="006E2923" w:rsidP="005A34C5">
      <w:pPr>
        <w:numPr>
          <w:ilvl w:val="0"/>
          <w:numId w:val="2"/>
        </w:numPr>
        <w:rPr>
          <w:rFonts w:ascii="Arial" w:hAnsi="Arial" w:cs="Arial"/>
        </w:rPr>
      </w:pPr>
      <w:r>
        <w:rPr>
          <w:rFonts w:ascii="Arial" w:hAnsi="Arial" w:cs="Arial"/>
          <w:b/>
          <w:bCs/>
        </w:rPr>
        <w:t xml:space="preserve">Scoring </w:t>
      </w:r>
      <w:r w:rsidR="00BB11BC" w:rsidRPr="00A75F3B">
        <w:rPr>
          <w:rFonts w:ascii="Arial" w:hAnsi="Arial" w:cs="Arial"/>
          <w:b/>
          <w:bCs/>
        </w:rPr>
        <w:t>I</w:t>
      </w:r>
      <w:r w:rsidR="00BB11BC">
        <w:rPr>
          <w:rFonts w:ascii="Arial" w:hAnsi="Arial" w:cs="Arial"/>
          <w:b/>
          <w:bCs/>
        </w:rPr>
        <w:t xml:space="preserve">mpacts, Risks and </w:t>
      </w:r>
      <w:r w:rsidR="00BB11BC" w:rsidRPr="00A75F3B">
        <w:rPr>
          <w:rFonts w:ascii="Arial" w:hAnsi="Arial" w:cs="Arial"/>
          <w:b/>
          <w:bCs/>
        </w:rPr>
        <w:t>O</w:t>
      </w:r>
      <w:r w:rsidR="00BB11BC">
        <w:rPr>
          <w:rFonts w:ascii="Arial" w:hAnsi="Arial" w:cs="Arial"/>
          <w:b/>
          <w:bCs/>
        </w:rPr>
        <w:t>pportunities</w:t>
      </w:r>
      <w:r w:rsidR="00BB11BC" w:rsidRPr="00A75F3B">
        <w:rPr>
          <w:rFonts w:ascii="Arial" w:hAnsi="Arial" w:cs="Arial"/>
          <w:b/>
          <w:bCs/>
        </w:rPr>
        <w:t xml:space="preserve"> </w:t>
      </w:r>
      <w:r>
        <w:rPr>
          <w:rFonts w:ascii="Arial" w:hAnsi="Arial" w:cs="Arial"/>
          <w:b/>
          <w:bCs/>
        </w:rPr>
        <w:t xml:space="preserve">(IROs) </w:t>
      </w:r>
      <w:r w:rsidR="00BB11BC" w:rsidRPr="00A75F3B">
        <w:rPr>
          <w:rFonts w:ascii="Arial" w:hAnsi="Arial" w:cs="Arial"/>
        </w:rPr>
        <w:t xml:space="preserve">— </w:t>
      </w:r>
      <w:r w:rsidR="00BB11BC">
        <w:rPr>
          <w:rFonts w:ascii="Arial" w:hAnsi="Arial" w:cs="Arial"/>
        </w:rPr>
        <w:t>P</w:t>
      </w:r>
      <w:r w:rsidR="00BB11BC" w:rsidRPr="00A75F3B">
        <w:rPr>
          <w:rFonts w:ascii="Arial" w:hAnsi="Arial" w:cs="Arial"/>
        </w:rPr>
        <w:t>ractical guide with sample scoring frameworks, examples, and materiality threshold guidance.</w:t>
      </w:r>
    </w:p>
    <w:p w14:paraId="202BB88E" w14:textId="2BFE123B" w:rsidR="00A75F3B" w:rsidRPr="00A75F3B" w:rsidRDefault="00A75F3B" w:rsidP="00A75F3B">
      <w:pPr>
        <w:rPr>
          <w:rFonts w:ascii="Arial" w:hAnsi="Arial" w:cs="Arial"/>
        </w:rPr>
      </w:pPr>
      <w:r w:rsidRPr="03D5FE4A">
        <w:rPr>
          <w:rFonts w:ascii="Arial" w:hAnsi="Arial" w:cs="Arial"/>
        </w:rPr>
        <w:t xml:space="preserve">“Electronics companies sit at the center of some of the most complex and globally dispersed supply chains,” said Kelly Scanlon, </w:t>
      </w:r>
      <w:r w:rsidR="001A39B3" w:rsidRPr="03D5FE4A">
        <w:rPr>
          <w:rFonts w:ascii="Arial" w:hAnsi="Arial" w:cs="Arial"/>
        </w:rPr>
        <w:t xml:space="preserve">DrPH, </w:t>
      </w:r>
      <w:r w:rsidR="005039CD">
        <w:rPr>
          <w:rFonts w:ascii="Arial" w:hAnsi="Arial" w:cs="Arial"/>
        </w:rPr>
        <w:t>lead s</w:t>
      </w:r>
      <w:r w:rsidR="006B71DC" w:rsidRPr="03D5FE4A">
        <w:rPr>
          <w:rFonts w:ascii="Arial" w:hAnsi="Arial" w:cs="Arial"/>
        </w:rPr>
        <w:t xml:space="preserve">ustainability </w:t>
      </w:r>
      <w:r w:rsidR="005039CD">
        <w:rPr>
          <w:rFonts w:ascii="Arial" w:hAnsi="Arial" w:cs="Arial"/>
        </w:rPr>
        <w:t>s</w:t>
      </w:r>
      <w:r w:rsidR="006B71DC" w:rsidRPr="03D5FE4A">
        <w:rPr>
          <w:rFonts w:ascii="Arial" w:hAnsi="Arial" w:cs="Arial"/>
        </w:rPr>
        <w:t xml:space="preserve">trategist at </w:t>
      </w:r>
      <w:r w:rsidRPr="03D5FE4A">
        <w:rPr>
          <w:rFonts w:ascii="Arial" w:hAnsi="Arial" w:cs="Arial"/>
        </w:rPr>
        <w:t xml:space="preserve">the Association. “The CSRD raises the bar for transparency, but the amount of data and analysis required can be overwhelming. Our </w:t>
      </w:r>
      <w:r w:rsidR="00617702" w:rsidRPr="03D5FE4A">
        <w:rPr>
          <w:rFonts w:ascii="Arial" w:hAnsi="Arial" w:cs="Arial"/>
        </w:rPr>
        <w:t xml:space="preserve">DMA Toolkit </w:t>
      </w:r>
      <w:r w:rsidRPr="03D5FE4A">
        <w:rPr>
          <w:rFonts w:ascii="Arial" w:hAnsi="Arial" w:cs="Arial"/>
        </w:rPr>
        <w:t xml:space="preserve">provides a clear, structured path tailored to the electronics </w:t>
      </w:r>
      <w:r w:rsidR="00577C32" w:rsidRPr="03D5FE4A">
        <w:rPr>
          <w:rFonts w:ascii="Arial" w:hAnsi="Arial" w:cs="Arial"/>
        </w:rPr>
        <w:t>industry</w:t>
      </w:r>
      <w:r w:rsidRPr="03D5FE4A">
        <w:rPr>
          <w:rFonts w:ascii="Arial" w:hAnsi="Arial" w:cs="Arial"/>
        </w:rPr>
        <w:t>.”</w:t>
      </w:r>
    </w:p>
    <w:p w14:paraId="69A536D5" w14:textId="7C7F355E" w:rsidR="009057C2" w:rsidRPr="00A75F3B" w:rsidRDefault="00625E3E" w:rsidP="009057C2">
      <w:pPr>
        <w:rPr>
          <w:rFonts w:ascii="Arial" w:hAnsi="Arial" w:cs="Arial"/>
        </w:rPr>
      </w:pPr>
      <w:r w:rsidRPr="00625E3E">
        <w:rPr>
          <w:rFonts w:ascii="Arial" w:hAnsi="Arial" w:cs="Arial"/>
        </w:rPr>
        <w:t xml:space="preserve">“We are pleased to have co-developed the initial components of the </w:t>
      </w:r>
      <w:r w:rsidR="00702A64">
        <w:rPr>
          <w:rFonts w:ascii="Arial" w:hAnsi="Arial" w:cs="Arial"/>
        </w:rPr>
        <w:t xml:space="preserve">DMA </w:t>
      </w:r>
      <w:r w:rsidRPr="00625E3E">
        <w:rPr>
          <w:rFonts w:ascii="Arial" w:hAnsi="Arial" w:cs="Arial"/>
        </w:rPr>
        <w:t>Toolkit in collaboration with the Association. This resource is designed to provide practical guidance, helping companies across the value chain navigate complexity and transform compliance obligations into strategic commercial opportunities</w:t>
      </w:r>
      <w:r>
        <w:rPr>
          <w:rFonts w:ascii="Arial" w:hAnsi="Arial" w:cs="Arial"/>
        </w:rPr>
        <w:t>,” said</w:t>
      </w:r>
      <w:r w:rsidRPr="00625E3E">
        <w:rPr>
          <w:rFonts w:ascii="Arial" w:hAnsi="Arial" w:cs="Arial"/>
        </w:rPr>
        <w:t xml:space="preserve"> Mari Desangles, </w:t>
      </w:r>
      <w:r>
        <w:rPr>
          <w:rFonts w:ascii="Arial" w:hAnsi="Arial" w:cs="Arial"/>
        </w:rPr>
        <w:t>s</w:t>
      </w:r>
      <w:r w:rsidRPr="00625E3E">
        <w:rPr>
          <w:rFonts w:ascii="Arial" w:hAnsi="Arial" w:cs="Arial"/>
        </w:rPr>
        <w:t xml:space="preserve">trategic </w:t>
      </w:r>
      <w:r>
        <w:rPr>
          <w:rFonts w:ascii="Arial" w:hAnsi="Arial" w:cs="Arial"/>
        </w:rPr>
        <w:t>a</w:t>
      </w:r>
      <w:r w:rsidRPr="00625E3E">
        <w:rPr>
          <w:rFonts w:ascii="Arial" w:hAnsi="Arial" w:cs="Arial"/>
        </w:rPr>
        <w:t xml:space="preserve">ccount </w:t>
      </w:r>
      <w:r>
        <w:rPr>
          <w:rFonts w:ascii="Arial" w:hAnsi="Arial" w:cs="Arial"/>
        </w:rPr>
        <w:t>m</w:t>
      </w:r>
      <w:r w:rsidRPr="00625E3E">
        <w:rPr>
          <w:rFonts w:ascii="Arial" w:hAnsi="Arial" w:cs="Arial"/>
        </w:rPr>
        <w:t>anager, Anthesis</w:t>
      </w:r>
      <w:r>
        <w:rPr>
          <w:rFonts w:ascii="Arial" w:hAnsi="Arial" w:cs="Arial"/>
        </w:rPr>
        <w:t>.</w:t>
      </w:r>
    </w:p>
    <w:p w14:paraId="437DA617" w14:textId="0A2E9C02" w:rsidR="001A39B3" w:rsidRDefault="00A75F3B">
      <w:pPr>
        <w:rPr>
          <w:rFonts w:ascii="Arial" w:hAnsi="Arial" w:cs="Arial"/>
        </w:rPr>
      </w:pPr>
      <w:r w:rsidRPr="00A75F3B">
        <w:rPr>
          <w:rFonts w:ascii="Arial" w:hAnsi="Arial" w:cs="Arial"/>
        </w:rPr>
        <w:t xml:space="preserve">The </w:t>
      </w:r>
      <w:r w:rsidR="00702A64">
        <w:rPr>
          <w:rFonts w:ascii="Arial" w:hAnsi="Arial" w:cs="Arial"/>
        </w:rPr>
        <w:t xml:space="preserve">DMA </w:t>
      </w:r>
      <w:r w:rsidRPr="00A75F3B">
        <w:rPr>
          <w:rFonts w:ascii="Arial" w:hAnsi="Arial" w:cs="Arial"/>
        </w:rPr>
        <w:t>Toolkit is available for</w:t>
      </w:r>
      <w:r w:rsidR="001462F9">
        <w:rPr>
          <w:rFonts w:ascii="Arial" w:hAnsi="Arial" w:cs="Arial"/>
        </w:rPr>
        <w:t xml:space="preserve"> </w:t>
      </w:r>
      <w:r w:rsidRPr="00A75F3B">
        <w:rPr>
          <w:rFonts w:ascii="Arial" w:hAnsi="Arial" w:cs="Arial"/>
        </w:rPr>
        <w:t>purchase</w:t>
      </w:r>
      <w:r w:rsidR="001462F9">
        <w:rPr>
          <w:rFonts w:ascii="Arial" w:hAnsi="Arial" w:cs="Arial"/>
        </w:rPr>
        <w:t xml:space="preserve"> at</w:t>
      </w:r>
      <w:r w:rsidR="00702A64">
        <w:rPr>
          <w:rFonts w:ascii="Arial" w:hAnsi="Arial" w:cs="Arial"/>
        </w:rPr>
        <w:t xml:space="preserve"> </w:t>
      </w:r>
      <w:hyperlink r:id="rId12" w:history="1">
        <w:r w:rsidR="00702A64" w:rsidRPr="00FD0EA0">
          <w:rPr>
            <w:rStyle w:val="Hyperlink"/>
            <w:rFonts w:ascii="Arial" w:hAnsi="Arial" w:cs="Arial"/>
          </w:rPr>
          <w:t>https://www.electronics.org/materiality-dma-toolkit</w:t>
        </w:r>
      </w:hyperlink>
      <w:r w:rsidR="00702A64">
        <w:rPr>
          <w:rFonts w:ascii="Arial" w:hAnsi="Arial" w:cs="Arial"/>
        </w:rPr>
        <w:t>.</w:t>
      </w:r>
    </w:p>
    <w:p w14:paraId="78744B33" w14:textId="33B88918" w:rsidR="001A39B3" w:rsidRDefault="001A39B3" w:rsidP="001A39B3">
      <w:pPr>
        <w:jc w:val="center"/>
        <w:rPr>
          <w:rFonts w:ascii="Arial" w:hAnsi="Arial" w:cs="Arial"/>
        </w:rPr>
      </w:pPr>
      <w:r>
        <w:rPr>
          <w:rFonts w:ascii="Arial" w:hAnsi="Arial" w:cs="Arial"/>
        </w:rPr>
        <w:t>###</w:t>
      </w:r>
    </w:p>
    <w:p w14:paraId="7D0C222D" w14:textId="77777777" w:rsidR="005F74B9" w:rsidRPr="009569BA" w:rsidRDefault="005F74B9" w:rsidP="005F74B9">
      <w:pPr>
        <w:spacing w:after="0"/>
        <w:ind w:left="86"/>
        <w:rPr>
          <w:rFonts w:ascii="Arial" w:hAnsi="Arial" w:cs="Arial"/>
          <w:b/>
          <w:bCs/>
          <w:sz w:val="20"/>
          <w:szCs w:val="20"/>
        </w:rPr>
      </w:pPr>
      <w:r w:rsidRPr="009569BA">
        <w:rPr>
          <w:rFonts w:ascii="Arial" w:hAnsi="Arial" w:cs="Arial"/>
          <w:b/>
          <w:bCs/>
          <w:sz w:val="20"/>
          <w:szCs w:val="20"/>
        </w:rPr>
        <w:t>About the Global Electronics Association</w:t>
      </w:r>
    </w:p>
    <w:p w14:paraId="55880D16" w14:textId="77777777" w:rsidR="005F74B9" w:rsidRDefault="005F74B9" w:rsidP="005F74B9">
      <w:pPr>
        <w:spacing w:after="0"/>
        <w:ind w:left="86"/>
        <w:rPr>
          <w:rFonts w:ascii="Arial" w:hAnsi="Arial" w:cs="Arial"/>
          <w:sz w:val="20"/>
          <w:szCs w:val="20"/>
        </w:rPr>
      </w:pPr>
      <w:r w:rsidRPr="009569BA">
        <w:rPr>
          <w:rFonts w:ascii="Arial" w:hAnsi="Arial" w:cs="Arial"/>
          <w:sz w:val="20"/>
          <w:szCs w:val="20"/>
        </w:rPr>
        <w:t xml:space="preserve">The Global Electronics Association is the voice of the electronics industry, working with thousands of members and partners to build a more resilient supply chain and drive sustainable growth. We advocate for fair trade, smart regulation, and regional manufacturing, and educate on industry practices, actionable intelligence and technical innovations to empower the future. The Association collaborates with governments and companies worldwide to advance a trusted and prosperous electronics industry. Formerly known as IPC, the organization serves a $6 trillion market and operates from offices across Asia-Pacific, Europe and North and South America. Learn more at </w:t>
      </w:r>
      <w:hyperlink r:id="rId13" w:history="1">
        <w:r w:rsidRPr="00A256A6">
          <w:rPr>
            <w:rStyle w:val="Hyperlink"/>
            <w:rFonts w:ascii="Arial" w:hAnsi="Arial" w:cs="Arial"/>
            <w:sz w:val="20"/>
            <w:szCs w:val="20"/>
          </w:rPr>
          <w:t>www.electronics.org</w:t>
        </w:r>
      </w:hyperlink>
      <w:r w:rsidRPr="009569BA">
        <w:rPr>
          <w:rFonts w:ascii="Arial" w:hAnsi="Arial" w:cs="Arial"/>
          <w:sz w:val="20"/>
          <w:szCs w:val="20"/>
        </w:rPr>
        <w:t>.</w:t>
      </w:r>
    </w:p>
    <w:p w14:paraId="50775080" w14:textId="77777777" w:rsidR="005F74B9" w:rsidRDefault="005F74B9" w:rsidP="005F74B9">
      <w:pPr>
        <w:rPr>
          <w:rFonts w:ascii="Arial" w:hAnsi="Arial" w:cs="Arial"/>
        </w:rPr>
      </w:pPr>
    </w:p>
    <w:sectPr w:rsidR="005F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3848"/>
    <w:multiLevelType w:val="multilevel"/>
    <w:tmpl w:val="5914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274A0"/>
    <w:multiLevelType w:val="multilevel"/>
    <w:tmpl w:val="5914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685B4"/>
    <w:multiLevelType w:val="hybridMultilevel"/>
    <w:tmpl w:val="7326E11A"/>
    <w:lvl w:ilvl="0" w:tplc="2F54F400">
      <w:start w:val="1"/>
      <w:numFmt w:val="decimal"/>
      <w:lvlText w:val="%1."/>
      <w:lvlJc w:val="left"/>
      <w:pPr>
        <w:ind w:left="720" w:hanging="360"/>
      </w:pPr>
    </w:lvl>
    <w:lvl w:ilvl="1" w:tplc="2A8C940E">
      <w:start w:val="1"/>
      <w:numFmt w:val="lowerLetter"/>
      <w:lvlText w:val="%2."/>
      <w:lvlJc w:val="left"/>
      <w:pPr>
        <w:ind w:left="1440" w:hanging="360"/>
      </w:pPr>
    </w:lvl>
    <w:lvl w:ilvl="2" w:tplc="468E1CE0">
      <w:start w:val="1"/>
      <w:numFmt w:val="lowerRoman"/>
      <w:lvlText w:val="%3."/>
      <w:lvlJc w:val="right"/>
      <w:pPr>
        <w:ind w:left="2160" w:hanging="180"/>
      </w:pPr>
    </w:lvl>
    <w:lvl w:ilvl="3" w:tplc="03C04332">
      <w:start w:val="1"/>
      <w:numFmt w:val="decimal"/>
      <w:lvlText w:val="%4."/>
      <w:lvlJc w:val="left"/>
      <w:pPr>
        <w:ind w:left="2880" w:hanging="360"/>
      </w:pPr>
    </w:lvl>
    <w:lvl w:ilvl="4" w:tplc="63A41A1C">
      <w:start w:val="1"/>
      <w:numFmt w:val="lowerLetter"/>
      <w:lvlText w:val="%5."/>
      <w:lvlJc w:val="left"/>
      <w:pPr>
        <w:ind w:left="3600" w:hanging="360"/>
      </w:pPr>
    </w:lvl>
    <w:lvl w:ilvl="5" w:tplc="1C02FEA8">
      <w:start w:val="1"/>
      <w:numFmt w:val="lowerRoman"/>
      <w:lvlText w:val="%6."/>
      <w:lvlJc w:val="right"/>
      <w:pPr>
        <w:ind w:left="4320" w:hanging="180"/>
      </w:pPr>
    </w:lvl>
    <w:lvl w:ilvl="6" w:tplc="32A4143C">
      <w:start w:val="1"/>
      <w:numFmt w:val="decimal"/>
      <w:lvlText w:val="%7."/>
      <w:lvlJc w:val="left"/>
      <w:pPr>
        <w:ind w:left="5040" w:hanging="360"/>
      </w:pPr>
    </w:lvl>
    <w:lvl w:ilvl="7" w:tplc="BBF43134">
      <w:start w:val="1"/>
      <w:numFmt w:val="lowerLetter"/>
      <w:lvlText w:val="%8."/>
      <w:lvlJc w:val="left"/>
      <w:pPr>
        <w:ind w:left="5760" w:hanging="360"/>
      </w:pPr>
    </w:lvl>
    <w:lvl w:ilvl="8" w:tplc="1FB8285C">
      <w:start w:val="1"/>
      <w:numFmt w:val="lowerRoman"/>
      <w:lvlText w:val="%9."/>
      <w:lvlJc w:val="right"/>
      <w:pPr>
        <w:ind w:left="6480" w:hanging="180"/>
      </w:pPr>
    </w:lvl>
  </w:abstractNum>
  <w:num w:numId="1" w16cid:durableId="873153624">
    <w:abstractNumId w:val="2"/>
  </w:num>
  <w:num w:numId="2" w16cid:durableId="1424380694">
    <w:abstractNumId w:val="0"/>
  </w:num>
  <w:num w:numId="3" w16cid:durableId="170066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3B"/>
    <w:rsid w:val="0003185B"/>
    <w:rsid w:val="00037840"/>
    <w:rsid w:val="00055498"/>
    <w:rsid w:val="00087415"/>
    <w:rsid w:val="001462F9"/>
    <w:rsid w:val="001657E1"/>
    <w:rsid w:val="00193F4E"/>
    <w:rsid w:val="001A39B3"/>
    <w:rsid w:val="00263BE3"/>
    <w:rsid w:val="00293B9B"/>
    <w:rsid w:val="00295407"/>
    <w:rsid w:val="002B7DC3"/>
    <w:rsid w:val="002C6707"/>
    <w:rsid w:val="002E6992"/>
    <w:rsid w:val="00303792"/>
    <w:rsid w:val="00327676"/>
    <w:rsid w:val="003324FE"/>
    <w:rsid w:val="00346AD7"/>
    <w:rsid w:val="00352166"/>
    <w:rsid w:val="003D1112"/>
    <w:rsid w:val="003D2FBF"/>
    <w:rsid w:val="0043326C"/>
    <w:rsid w:val="004869D1"/>
    <w:rsid w:val="004952F4"/>
    <w:rsid w:val="004E0E1A"/>
    <w:rsid w:val="005039CD"/>
    <w:rsid w:val="005259D5"/>
    <w:rsid w:val="0053027E"/>
    <w:rsid w:val="00545176"/>
    <w:rsid w:val="00554A28"/>
    <w:rsid w:val="00561585"/>
    <w:rsid w:val="00577C32"/>
    <w:rsid w:val="005A34C5"/>
    <w:rsid w:val="005C1A6F"/>
    <w:rsid w:val="005F0779"/>
    <w:rsid w:val="005F553E"/>
    <w:rsid w:val="005F74B9"/>
    <w:rsid w:val="00605AA1"/>
    <w:rsid w:val="00617702"/>
    <w:rsid w:val="00625E3E"/>
    <w:rsid w:val="00677F14"/>
    <w:rsid w:val="00682B4A"/>
    <w:rsid w:val="006B71DC"/>
    <w:rsid w:val="006E2923"/>
    <w:rsid w:val="006E3D00"/>
    <w:rsid w:val="00702A64"/>
    <w:rsid w:val="00744908"/>
    <w:rsid w:val="00784C5E"/>
    <w:rsid w:val="0079536F"/>
    <w:rsid w:val="00820FC9"/>
    <w:rsid w:val="00861A99"/>
    <w:rsid w:val="008952C3"/>
    <w:rsid w:val="008A0183"/>
    <w:rsid w:val="008A179C"/>
    <w:rsid w:val="008E23BE"/>
    <w:rsid w:val="009057C2"/>
    <w:rsid w:val="00912A9A"/>
    <w:rsid w:val="00925485"/>
    <w:rsid w:val="00984F94"/>
    <w:rsid w:val="009C103D"/>
    <w:rsid w:val="009C1782"/>
    <w:rsid w:val="00A1392A"/>
    <w:rsid w:val="00A75F3B"/>
    <w:rsid w:val="00B1269D"/>
    <w:rsid w:val="00B321FD"/>
    <w:rsid w:val="00BB11BC"/>
    <w:rsid w:val="00BF219E"/>
    <w:rsid w:val="00C42DAC"/>
    <w:rsid w:val="00C56797"/>
    <w:rsid w:val="00C73930"/>
    <w:rsid w:val="00D05E97"/>
    <w:rsid w:val="00D73F6F"/>
    <w:rsid w:val="00D8355A"/>
    <w:rsid w:val="00E50550"/>
    <w:rsid w:val="00E74700"/>
    <w:rsid w:val="00EA36C0"/>
    <w:rsid w:val="00EB26C6"/>
    <w:rsid w:val="00F32C21"/>
    <w:rsid w:val="00F37242"/>
    <w:rsid w:val="00F42C36"/>
    <w:rsid w:val="00F57C1F"/>
    <w:rsid w:val="00F86924"/>
    <w:rsid w:val="00F927A5"/>
    <w:rsid w:val="00FD0021"/>
    <w:rsid w:val="0328665D"/>
    <w:rsid w:val="034DCF32"/>
    <w:rsid w:val="0372F340"/>
    <w:rsid w:val="03D5FE4A"/>
    <w:rsid w:val="06F75C20"/>
    <w:rsid w:val="073963B0"/>
    <w:rsid w:val="0A14C73F"/>
    <w:rsid w:val="0A2ED8B4"/>
    <w:rsid w:val="0A846ED4"/>
    <w:rsid w:val="0B265647"/>
    <w:rsid w:val="0DDFF01E"/>
    <w:rsid w:val="0EA579F2"/>
    <w:rsid w:val="114F8E45"/>
    <w:rsid w:val="12E91F86"/>
    <w:rsid w:val="188ED9F6"/>
    <w:rsid w:val="1F0D4EA3"/>
    <w:rsid w:val="210B32ED"/>
    <w:rsid w:val="2444ECAE"/>
    <w:rsid w:val="2AC1C0FD"/>
    <w:rsid w:val="2BE2CF56"/>
    <w:rsid w:val="2E9BD4BE"/>
    <w:rsid w:val="330DA460"/>
    <w:rsid w:val="3463B712"/>
    <w:rsid w:val="34927293"/>
    <w:rsid w:val="3649F873"/>
    <w:rsid w:val="39381813"/>
    <w:rsid w:val="3A48EC33"/>
    <w:rsid w:val="3AAF0620"/>
    <w:rsid w:val="3D21407B"/>
    <w:rsid w:val="3EB6E830"/>
    <w:rsid w:val="3EC2CA73"/>
    <w:rsid w:val="42E4F86D"/>
    <w:rsid w:val="47315B59"/>
    <w:rsid w:val="47855195"/>
    <w:rsid w:val="48EAB3A5"/>
    <w:rsid w:val="4AD094DC"/>
    <w:rsid w:val="4E3DA25C"/>
    <w:rsid w:val="567C0645"/>
    <w:rsid w:val="56CA01AB"/>
    <w:rsid w:val="571B00EC"/>
    <w:rsid w:val="5A3EFDF1"/>
    <w:rsid w:val="5A7CFF1F"/>
    <w:rsid w:val="5BBE31D8"/>
    <w:rsid w:val="5C41B898"/>
    <w:rsid w:val="63C937D5"/>
    <w:rsid w:val="63DDC638"/>
    <w:rsid w:val="6A004101"/>
    <w:rsid w:val="6B480817"/>
    <w:rsid w:val="6C3860EF"/>
    <w:rsid w:val="6D4F23A5"/>
    <w:rsid w:val="6F9FE34C"/>
    <w:rsid w:val="6FD2F12A"/>
    <w:rsid w:val="76D707E2"/>
    <w:rsid w:val="76E09D2E"/>
    <w:rsid w:val="7716B091"/>
    <w:rsid w:val="77A35707"/>
    <w:rsid w:val="79655EC2"/>
    <w:rsid w:val="7A15F173"/>
    <w:rsid w:val="7B25184A"/>
    <w:rsid w:val="7B954719"/>
    <w:rsid w:val="7EF5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63A"/>
  <w15:chartTrackingRefBased/>
  <w15:docId w15:val="{53B0CE3F-483D-4468-BE78-03C071D0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F3B"/>
    <w:rPr>
      <w:rFonts w:eastAsiaTheme="majorEastAsia" w:cstheme="majorBidi"/>
      <w:color w:val="272727" w:themeColor="text1" w:themeTint="D8"/>
    </w:rPr>
  </w:style>
  <w:style w:type="paragraph" w:styleId="Title">
    <w:name w:val="Title"/>
    <w:basedOn w:val="Normal"/>
    <w:next w:val="Normal"/>
    <w:link w:val="TitleChar"/>
    <w:uiPriority w:val="10"/>
    <w:qFormat/>
    <w:rsid w:val="00A75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F3B"/>
    <w:pPr>
      <w:spacing w:before="160"/>
      <w:jc w:val="center"/>
    </w:pPr>
    <w:rPr>
      <w:i/>
      <w:iCs/>
      <w:color w:val="404040" w:themeColor="text1" w:themeTint="BF"/>
    </w:rPr>
  </w:style>
  <w:style w:type="character" w:customStyle="1" w:styleId="QuoteChar">
    <w:name w:val="Quote Char"/>
    <w:basedOn w:val="DefaultParagraphFont"/>
    <w:link w:val="Quote"/>
    <w:uiPriority w:val="29"/>
    <w:rsid w:val="00A75F3B"/>
    <w:rPr>
      <w:i/>
      <w:iCs/>
      <w:color w:val="404040" w:themeColor="text1" w:themeTint="BF"/>
    </w:rPr>
  </w:style>
  <w:style w:type="paragraph" w:styleId="ListParagraph">
    <w:name w:val="List Paragraph"/>
    <w:basedOn w:val="Normal"/>
    <w:uiPriority w:val="34"/>
    <w:qFormat/>
    <w:rsid w:val="00A75F3B"/>
    <w:pPr>
      <w:ind w:left="720"/>
      <w:contextualSpacing/>
    </w:pPr>
  </w:style>
  <w:style w:type="character" w:styleId="IntenseEmphasis">
    <w:name w:val="Intense Emphasis"/>
    <w:basedOn w:val="DefaultParagraphFont"/>
    <w:uiPriority w:val="21"/>
    <w:qFormat/>
    <w:rsid w:val="00A75F3B"/>
    <w:rPr>
      <w:i/>
      <w:iCs/>
      <w:color w:val="0F4761" w:themeColor="accent1" w:themeShade="BF"/>
    </w:rPr>
  </w:style>
  <w:style w:type="paragraph" w:styleId="IntenseQuote">
    <w:name w:val="Intense Quote"/>
    <w:basedOn w:val="Normal"/>
    <w:next w:val="Normal"/>
    <w:link w:val="IntenseQuoteChar"/>
    <w:uiPriority w:val="30"/>
    <w:qFormat/>
    <w:rsid w:val="00A75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F3B"/>
    <w:rPr>
      <w:i/>
      <w:iCs/>
      <w:color w:val="0F4761" w:themeColor="accent1" w:themeShade="BF"/>
    </w:rPr>
  </w:style>
  <w:style w:type="character" w:styleId="IntenseReference">
    <w:name w:val="Intense Reference"/>
    <w:basedOn w:val="DefaultParagraphFont"/>
    <w:uiPriority w:val="32"/>
    <w:qFormat/>
    <w:rsid w:val="00A75F3B"/>
    <w:rPr>
      <w:b/>
      <w:bCs/>
      <w:smallCaps/>
      <w:color w:val="0F4761" w:themeColor="accent1" w:themeShade="BF"/>
      <w:spacing w:val="5"/>
    </w:rPr>
  </w:style>
  <w:style w:type="character" w:styleId="Hyperlink">
    <w:name w:val="Hyperlink"/>
    <w:basedOn w:val="DefaultParagraphFont"/>
    <w:uiPriority w:val="99"/>
    <w:unhideWhenUsed/>
    <w:rsid w:val="001462F9"/>
    <w:rPr>
      <w:color w:val="467886" w:themeColor="hyperlink"/>
      <w:u w:val="single"/>
    </w:rPr>
  </w:style>
  <w:style w:type="character" w:styleId="UnresolvedMention">
    <w:name w:val="Unresolved Mention"/>
    <w:basedOn w:val="DefaultParagraphFont"/>
    <w:uiPriority w:val="99"/>
    <w:semiHidden/>
    <w:unhideWhenUsed/>
    <w:rsid w:val="001462F9"/>
    <w:rPr>
      <w:color w:val="605E5C"/>
      <w:shd w:val="clear" w:color="auto" w:fill="E1DFDD"/>
    </w:rPr>
  </w:style>
  <w:style w:type="paragraph" w:styleId="Revision">
    <w:name w:val="Revision"/>
    <w:hidden/>
    <w:uiPriority w:val="99"/>
    <w:semiHidden/>
    <w:rsid w:val="009057C2"/>
    <w:pPr>
      <w:spacing w:after="0" w:line="240" w:lineRule="auto"/>
    </w:pPr>
  </w:style>
  <w:style w:type="character" w:styleId="CommentReference">
    <w:name w:val="annotation reference"/>
    <w:basedOn w:val="DefaultParagraphFont"/>
    <w:uiPriority w:val="99"/>
    <w:semiHidden/>
    <w:unhideWhenUsed/>
    <w:rsid w:val="009057C2"/>
    <w:rPr>
      <w:sz w:val="16"/>
      <w:szCs w:val="16"/>
    </w:rPr>
  </w:style>
  <w:style w:type="paragraph" w:styleId="CommentText">
    <w:name w:val="annotation text"/>
    <w:basedOn w:val="Normal"/>
    <w:link w:val="CommentTextChar"/>
    <w:uiPriority w:val="99"/>
    <w:unhideWhenUsed/>
    <w:rsid w:val="009057C2"/>
    <w:pPr>
      <w:spacing w:line="240" w:lineRule="auto"/>
    </w:pPr>
    <w:rPr>
      <w:sz w:val="20"/>
      <w:szCs w:val="20"/>
    </w:rPr>
  </w:style>
  <w:style w:type="character" w:customStyle="1" w:styleId="CommentTextChar">
    <w:name w:val="Comment Text Char"/>
    <w:basedOn w:val="DefaultParagraphFont"/>
    <w:link w:val="CommentText"/>
    <w:uiPriority w:val="99"/>
    <w:rsid w:val="009057C2"/>
    <w:rPr>
      <w:sz w:val="20"/>
      <w:szCs w:val="20"/>
    </w:rPr>
  </w:style>
  <w:style w:type="paragraph" w:styleId="CommentSubject">
    <w:name w:val="annotation subject"/>
    <w:basedOn w:val="CommentText"/>
    <w:next w:val="CommentText"/>
    <w:link w:val="CommentSubjectChar"/>
    <w:uiPriority w:val="99"/>
    <w:semiHidden/>
    <w:unhideWhenUsed/>
    <w:rsid w:val="009057C2"/>
    <w:rPr>
      <w:b/>
      <w:bCs/>
    </w:rPr>
  </w:style>
  <w:style w:type="character" w:customStyle="1" w:styleId="CommentSubjectChar">
    <w:name w:val="Comment Subject Char"/>
    <w:basedOn w:val="CommentTextChar"/>
    <w:link w:val="CommentSubject"/>
    <w:uiPriority w:val="99"/>
    <w:semiHidden/>
    <w:rsid w:val="00905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562">
      <w:bodyDiv w:val="1"/>
      <w:marLeft w:val="0"/>
      <w:marRight w:val="0"/>
      <w:marTop w:val="0"/>
      <w:marBottom w:val="0"/>
      <w:divBdr>
        <w:top w:val="none" w:sz="0" w:space="0" w:color="auto"/>
        <w:left w:val="none" w:sz="0" w:space="0" w:color="auto"/>
        <w:bottom w:val="none" w:sz="0" w:space="0" w:color="auto"/>
        <w:right w:val="none" w:sz="0" w:space="0" w:color="auto"/>
      </w:divBdr>
    </w:div>
    <w:div w:id="76946963">
      <w:bodyDiv w:val="1"/>
      <w:marLeft w:val="0"/>
      <w:marRight w:val="0"/>
      <w:marTop w:val="0"/>
      <w:marBottom w:val="0"/>
      <w:divBdr>
        <w:top w:val="none" w:sz="0" w:space="0" w:color="auto"/>
        <w:left w:val="none" w:sz="0" w:space="0" w:color="auto"/>
        <w:bottom w:val="none" w:sz="0" w:space="0" w:color="auto"/>
        <w:right w:val="none" w:sz="0" w:space="0" w:color="auto"/>
      </w:divBdr>
    </w:div>
    <w:div w:id="388185216">
      <w:bodyDiv w:val="1"/>
      <w:marLeft w:val="0"/>
      <w:marRight w:val="0"/>
      <w:marTop w:val="0"/>
      <w:marBottom w:val="0"/>
      <w:divBdr>
        <w:top w:val="none" w:sz="0" w:space="0" w:color="auto"/>
        <w:left w:val="none" w:sz="0" w:space="0" w:color="auto"/>
        <w:bottom w:val="none" w:sz="0" w:space="0" w:color="auto"/>
        <w:right w:val="none" w:sz="0" w:space="0" w:color="auto"/>
      </w:divBdr>
    </w:div>
    <w:div w:id="626929472">
      <w:bodyDiv w:val="1"/>
      <w:marLeft w:val="0"/>
      <w:marRight w:val="0"/>
      <w:marTop w:val="0"/>
      <w:marBottom w:val="0"/>
      <w:divBdr>
        <w:top w:val="none" w:sz="0" w:space="0" w:color="auto"/>
        <w:left w:val="none" w:sz="0" w:space="0" w:color="auto"/>
        <w:bottom w:val="none" w:sz="0" w:space="0" w:color="auto"/>
        <w:right w:val="none" w:sz="0" w:space="0" w:color="auto"/>
      </w:divBdr>
    </w:div>
    <w:div w:id="847016963">
      <w:bodyDiv w:val="1"/>
      <w:marLeft w:val="0"/>
      <w:marRight w:val="0"/>
      <w:marTop w:val="0"/>
      <w:marBottom w:val="0"/>
      <w:divBdr>
        <w:top w:val="none" w:sz="0" w:space="0" w:color="auto"/>
        <w:left w:val="none" w:sz="0" w:space="0" w:color="auto"/>
        <w:bottom w:val="none" w:sz="0" w:space="0" w:color="auto"/>
        <w:right w:val="none" w:sz="0" w:space="0" w:color="auto"/>
      </w:divBdr>
      <w:divsChild>
        <w:div w:id="1334214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22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105002">
      <w:bodyDiv w:val="1"/>
      <w:marLeft w:val="0"/>
      <w:marRight w:val="0"/>
      <w:marTop w:val="0"/>
      <w:marBottom w:val="0"/>
      <w:divBdr>
        <w:top w:val="none" w:sz="0" w:space="0" w:color="auto"/>
        <w:left w:val="none" w:sz="0" w:space="0" w:color="auto"/>
        <w:bottom w:val="none" w:sz="0" w:space="0" w:color="auto"/>
        <w:right w:val="none" w:sz="0" w:space="0" w:color="auto"/>
      </w:divBdr>
      <w:divsChild>
        <w:div w:id="39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88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ectronic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ctronics.org/materiality-dma-toolk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ronic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andyGentry@electronics.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211459-efc8-437a-b925-f93b53dc7483">
      <Terms xmlns="http://schemas.microsoft.com/office/infopath/2007/PartnerControls"/>
    </lcf76f155ced4ddcb4097134ff3c332f>
    <TaxCatchAll xmlns="97d82f13-83ba-4bcf-aa90-0541211bf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D4BC73B37D545A060B524CCB87366" ma:contentTypeVersion="11" ma:contentTypeDescription="Create a new document." ma:contentTypeScope="" ma:versionID="cddd5481339d795e567deb8bf2aa81bd">
  <xsd:schema xmlns:xsd="http://www.w3.org/2001/XMLSchema" xmlns:xs="http://www.w3.org/2001/XMLSchema" xmlns:p="http://schemas.microsoft.com/office/2006/metadata/properties" xmlns:ns2="ee211459-efc8-437a-b925-f93b53dc7483" xmlns:ns3="97d82f13-83ba-4bcf-aa90-0541211bf8c7" targetNamespace="http://schemas.microsoft.com/office/2006/metadata/properties" ma:root="true" ma:fieldsID="0532706e89e80af2ee4fef4486c60c62" ns2:_="" ns3:_="">
    <xsd:import namespace="ee211459-efc8-437a-b925-f93b53dc7483"/>
    <xsd:import namespace="97d82f13-83ba-4bcf-aa90-0541211bf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1459-efc8-437a-b925-f93b53dc7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ad7a08-944e-4e36-a602-2a56e5b635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82f13-83ba-4bcf-aa90-0541211bf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f499a-76d3-44d4-94a2-313037e00ac8}" ma:internalName="TaxCatchAll" ma:showField="CatchAllData" ma:web="97d82f13-83ba-4bcf-aa90-0541211b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10520-E93F-40A9-8F06-C640F4FD4E65}">
  <ds:schemaRefs>
    <ds:schemaRef ds:uri="http://schemas.microsoft.com/office/2006/metadata/properties"/>
    <ds:schemaRef ds:uri="http://schemas.microsoft.com/office/infopath/2007/PartnerControls"/>
    <ds:schemaRef ds:uri="ee211459-efc8-437a-b925-f93b53dc7483"/>
    <ds:schemaRef ds:uri="97d82f13-83ba-4bcf-aa90-0541211bf8c7"/>
  </ds:schemaRefs>
</ds:datastoreItem>
</file>

<file path=customXml/itemProps2.xml><?xml version="1.0" encoding="utf-8"?>
<ds:datastoreItem xmlns:ds="http://schemas.openxmlformats.org/officeDocument/2006/customXml" ds:itemID="{61BD7F6A-23AC-45B6-92CE-FB666E24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1459-efc8-437a-b925-f93b53dc7483"/>
    <ds:schemaRef ds:uri="97d82f13-83ba-4bcf-aa90-0541211b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BC9C9-2305-4B7B-A421-E193AB3D033A}">
  <ds:schemaRefs>
    <ds:schemaRef ds:uri="http://schemas.openxmlformats.org/officeDocument/2006/bibliography"/>
  </ds:schemaRefs>
</ds:datastoreItem>
</file>

<file path=customXml/itemProps4.xml><?xml version="1.0" encoding="utf-8"?>
<ds:datastoreItem xmlns:ds="http://schemas.openxmlformats.org/officeDocument/2006/customXml" ds:itemID="{D562E7B1-8483-445F-B859-BA17D5C29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Gentry</dc:creator>
  <cp:keywords/>
  <dc:description/>
  <cp:lastModifiedBy>Sandy Gentry</cp:lastModifiedBy>
  <cp:revision>2</cp:revision>
  <dcterms:created xsi:type="dcterms:W3CDTF">2025-11-20T13:46:00Z</dcterms:created>
  <dcterms:modified xsi:type="dcterms:W3CDTF">2025-11-20T13:46:00Z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0x01010021BD4BC73B37D545A060B524CCB87366</vt:lpwstr>
  </property>
  <property fmtid="{D5CDD505-2E9C-101B-9397-08002B2CF9AE}" pid="3" name="MediaServiceImageTags">
    <vt:lpwstr/>
  </property>
</Properties>
</file>