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A9C9" w14:textId="3FCD4F99" w:rsidR="00B42C85" w:rsidRPr="00836C1C" w:rsidRDefault="00E6781A" w:rsidP="00C74099">
      <w:pPr>
        <w:jc w:val="center"/>
        <w:rPr>
          <w:rFonts w:ascii="Bookman Old Style" w:hAnsi="Bookman Old Style"/>
          <w:b/>
          <w:bCs/>
          <w:sz w:val="28"/>
          <w:szCs w:val="28"/>
        </w:rPr>
      </w:pPr>
      <w:r w:rsidRPr="00836C1C">
        <w:rPr>
          <w:rFonts w:ascii="Bookman Old Style" w:hAnsi="Bookman Old Style"/>
          <w:b/>
          <w:bCs/>
          <w:sz w:val="28"/>
          <w:szCs w:val="28"/>
          <w:lang w:val="en-US"/>
        </w:rPr>
        <w:t>Magical Midways Inc.</w:t>
      </w:r>
      <w:r w:rsidR="00B42C85" w:rsidRPr="00B42C85">
        <w:rPr>
          <w:rFonts w:ascii="Bookman Old Style" w:hAnsi="Bookman Old Style"/>
          <w:b/>
          <w:bCs/>
          <w:sz w:val="28"/>
          <w:szCs w:val="28"/>
          <w:lang w:val="en-US"/>
        </w:rPr>
        <w:t xml:space="preserve"> Pleads Guilty to </w:t>
      </w:r>
      <w:r w:rsidR="00C74099" w:rsidRPr="00836C1C">
        <w:rPr>
          <w:rFonts w:ascii="Bookman Old Style" w:hAnsi="Bookman Old Style"/>
          <w:b/>
          <w:bCs/>
          <w:sz w:val="28"/>
          <w:szCs w:val="28"/>
        </w:rPr>
        <w:t xml:space="preserve">Safety </w:t>
      </w:r>
      <w:r w:rsidR="00F512D8" w:rsidRPr="00836C1C">
        <w:rPr>
          <w:rFonts w:ascii="Bookman Old Style" w:hAnsi="Bookman Old Style"/>
          <w:b/>
          <w:bCs/>
          <w:sz w:val="28"/>
          <w:szCs w:val="28"/>
        </w:rPr>
        <w:t>Maintenance</w:t>
      </w:r>
      <w:r w:rsidRPr="00836C1C">
        <w:rPr>
          <w:rFonts w:ascii="Bookman Old Style" w:hAnsi="Bookman Old Style"/>
          <w:b/>
          <w:bCs/>
          <w:sz w:val="28"/>
          <w:szCs w:val="28"/>
        </w:rPr>
        <w:t xml:space="preserve"> Violation</w:t>
      </w:r>
    </w:p>
    <w:p w14:paraId="7DA234DF" w14:textId="7B8DCE11" w:rsidR="00B42C85" w:rsidRPr="00B42C85" w:rsidRDefault="00B42C85" w:rsidP="00B42C85">
      <w:pPr>
        <w:rPr>
          <w:rFonts w:ascii="Century Gothic" w:hAnsi="Century Gothic"/>
          <w:lang w:val="en-US"/>
        </w:rPr>
      </w:pPr>
      <w:r w:rsidRPr="00B42C85">
        <w:rPr>
          <w:rFonts w:ascii="Century Gothic" w:hAnsi="Century Gothic"/>
          <w:lang w:val="en-US"/>
        </w:rPr>
        <w:t>Toronto, ON</w:t>
      </w:r>
      <w:r w:rsidRPr="00E6781A">
        <w:rPr>
          <w:rFonts w:ascii="Century Gothic" w:hAnsi="Century Gothic"/>
        </w:rPr>
        <w:t xml:space="preserve">, </w:t>
      </w:r>
      <w:r w:rsidR="00907A3C">
        <w:rPr>
          <w:rFonts w:ascii="Century Gothic" w:hAnsi="Century Gothic"/>
        </w:rPr>
        <w:t>July 2</w:t>
      </w:r>
      <w:r w:rsidRPr="00E6781A">
        <w:rPr>
          <w:rFonts w:ascii="Century Gothic" w:hAnsi="Century Gothic"/>
        </w:rPr>
        <w:t>, 2025</w:t>
      </w:r>
      <w:r w:rsidRPr="00B42C85">
        <w:rPr>
          <w:rFonts w:ascii="Century Gothic" w:hAnsi="Century Gothic"/>
          <w:lang w:val="en-US"/>
        </w:rPr>
        <w:t xml:space="preserve"> – Magical Midways Inc. </w:t>
      </w:r>
      <w:r w:rsidR="00BB62B0">
        <w:rPr>
          <w:rFonts w:ascii="Century Gothic" w:hAnsi="Century Gothic"/>
          <w:lang w:val="en-US"/>
        </w:rPr>
        <w:t xml:space="preserve">has </w:t>
      </w:r>
      <w:r w:rsidRPr="00B42C85">
        <w:rPr>
          <w:rFonts w:ascii="Century Gothic" w:hAnsi="Century Gothic"/>
          <w:lang w:val="en-US"/>
        </w:rPr>
        <w:t xml:space="preserve">pleaded guilty to one count of violating </w:t>
      </w:r>
      <w:hyperlink r:id="rId9" w:history="1">
        <w:r w:rsidR="00E6781A" w:rsidRPr="00F00D64">
          <w:rPr>
            <w:rStyle w:val="Hyperlink"/>
            <w:rFonts w:ascii="Century Gothic" w:hAnsi="Century Gothic"/>
            <w:lang w:val="en-US"/>
          </w:rPr>
          <w:t xml:space="preserve">the </w:t>
        </w:r>
        <w:r w:rsidRPr="00B42C85">
          <w:rPr>
            <w:rStyle w:val="Hyperlink"/>
            <w:rFonts w:ascii="Century Gothic" w:hAnsi="Century Gothic"/>
            <w:lang w:val="en-US"/>
          </w:rPr>
          <w:t>Technical Standards and Safety Act</w:t>
        </w:r>
      </w:hyperlink>
      <w:r w:rsidR="00BB62B0">
        <w:t>,</w:t>
      </w:r>
      <w:r w:rsidRPr="00B42C85">
        <w:rPr>
          <w:rFonts w:ascii="Century Gothic" w:hAnsi="Century Gothic"/>
          <w:lang w:val="en-US"/>
        </w:rPr>
        <w:t xml:space="preserve"> following a serious safety incident involving one of its amusement rides</w:t>
      </w:r>
      <w:r w:rsidR="00E6781A">
        <w:rPr>
          <w:rFonts w:ascii="Century Gothic" w:hAnsi="Century Gothic"/>
          <w:lang w:val="en-US"/>
        </w:rPr>
        <w:t xml:space="preserve"> in Campbellford, Ontario</w:t>
      </w:r>
      <w:r w:rsidRPr="00B42C85">
        <w:rPr>
          <w:rFonts w:ascii="Century Gothic" w:hAnsi="Century Gothic"/>
          <w:lang w:val="en-US"/>
        </w:rPr>
        <w:t>. The Ontario Court has imposed a fine of $30,000, along with a 25% victim surcharge.</w:t>
      </w:r>
    </w:p>
    <w:p w14:paraId="52D33956" w14:textId="2277A643" w:rsidR="00B42C85" w:rsidRPr="00B42C85" w:rsidRDefault="00B42C85" w:rsidP="00B42C85">
      <w:pPr>
        <w:rPr>
          <w:rFonts w:ascii="Century Gothic" w:hAnsi="Century Gothic"/>
          <w:lang w:val="en-US"/>
        </w:rPr>
      </w:pPr>
      <w:r w:rsidRPr="00B42C85">
        <w:rPr>
          <w:rFonts w:ascii="Century Gothic" w:hAnsi="Century Gothic"/>
          <w:lang w:val="en-US"/>
        </w:rPr>
        <w:t xml:space="preserve">The incident occurred in August 2022 at the Campbellford Fair, where </w:t>
      </w:r>
      <w:r w:rsidR="00A478E3">
        <w:rPr>
          <w:rFonts w:ascii="Century Gothic" w:hAnsi="Century Gothic"/>
          <w:lang w:val="en-US"/>
        </w:rPr>
        <w:t>one of the cars</w:t>
      </w:r>
      <w:r w:rsidRPr="00B42C85">
        <w:rPr>
          <w:rFonts w:ascii="Century Gothic" w:hAnsi="Century Gothic"/>
          <w:lang w:val="en-US"/>
        </w:rPr>
        <w:t xml:space="preserve"> </w:t>
      </w:r>
      <w:r w:rsidR="00E6781A">
        <w:rPr>
          <w:rFonts w:ascii="Century Gothic" w:hAnsi="Century Gothic"/>
          <w:lang w:val="en-US"/>
        </w:rPr>
        <w:t xml:space="preserve">became </w:t>
      </w:r>
      <w:r w:rsidRPr="00B42C85">
        <w:rPr>
          <w:rFonts w:ascii="Century Gothic" w:hAnsi="Century Gothic"/>
          <w:lang w:val="en-US"/>
        </w:rPr>
        <w:t xml:space="preserve">detached from the ride known as the Tilt-A-Whirl while in operation. </w:t>
      </w:r>
      <w:r w:rsidR="00891271">
        <w:rPr>
          <w:rFonts w:ascii="Century Gothic" w:hAnsi="Century Gothic"/>
          <w:lang w:val="en-US"/>
        </w:rPr>
        <w:t>At the time, t</w:t>
      </w:r>
      <w:r w:rsidRPr="00B42C85">
        <w:rPr>
          <w:rFonts w:ascii="Century Gothic" w:hAnsi="Century Gothic"/>
          <w:lang w:val="en-US"/>
        </w:rPr>
        <w:t xml:space="preserve">he </w:t>
      </w:r>
      <w:r w:rsidR="00A478E3">
        <w:rPr>
          <w:rFonts w:ascii="Century Gothic" w:hAnsi="Century Gothic"/>
          <w:lang w:val="en-US"/>
        </w:rPr>
        <w:t>car</w:t>
      </w:r>
      <w:r w:rsidR="00A478E3" w:rsidRPr="00B42C85">
        <w:rPr>
          <w:rFonts w:ascii="Century Gothic" w:hAnsi="Century Gothic"/>
          <w:lang w:val="en-US"/>
        </w:rPr>
        <w:t xml:space="preserve"> </w:t>
      </w:r>
      <w:r w:rsidRPr="00B42C85">
        <w:rPr>
          <w:rFonts w:ascii="Century Gothic" w:hAnsi="Century Gothic"/>
          <w:lang w:val="en-US"/>
        </w:rPr>
        <w:t>was carrying three passengers</w:t>
      </w:r>
      <w:r w:rsidR="00891271">
        <w:rPr>
          <w:rFonts w:ascii="Century Gothic" w:hAnsi="Century Gothic"/>
          <w:lang w:val="en-US"/>
        </w:rPr>
        <w:t xml:space="preserve"> and they all sustained </w:t>
      </w:r>
      <w:r w:rsidR="00061F90">
        <w:rPr>
          <w:rFonts w:ascii="Century Gothic" w:hAnsi="Century Gothic"/>
          <w:lang w:val="en-US"/>
        </w:rPr>
        <w:t>minor injuries</w:t>
      </w:r>
      <w:r w:rsidRPr="00B42C85">
        <w:rPr>
          <w:rFonts w:ascii="Century Gothic" w:hAnsi="Century Gothic"/>
          <w:lang w:val="en-US"/>
        </w:rPr>
        <w:t>.</w:t>
      </w:r>
    </w:p>
    <w:p w14:paraId="0C4B687E" w14:textId="63322451" w:rsidR="00B42C85" w:rsidRDefault="00B42C85" w:rsidP="00B42C85">
      <w:pPr>
        <w:rPr>
          <w:rFonts w:ascii="Century Gothic" w:hAnsi="Century Gothic"/>
          <w:lang w:val="en-US"/>
        </w:rPr>
      </w:pPr>
      <w:r w:rsidRPr="00B42C85">
        <w:rPr>
          <w:rFonts w:ascii="Century Gothic" w:hAnsi="Century Gothic"/>
          <w:lang w:val="en-US"/>
        </w:rPr>
        <w:t xml:space="preserve">An investigation by the Technical Standards and Safety Authority (TSSA) revealed that Magical Midways Inc. failed to maintain proper inspection records in accordance with </w:t>
      </w:r>
      <w:r w:rsidR="00E6781A" w:rsidRPr="0081313F">
        <w:rPr>
          <w:rFonts w:ascii="Century Gothic" w:eastAsia="Arial" w:hAnsi="Century Gothic" w:cs="Arial"/>
        </w:rPr>
        <w:t xml:space="preserve">Ontario Regulation </w:t>
      </w:r>
      <w:r w:rsidR="00E6781A">
        <w:rPr>
          <w:rFonts w:ascii="Century Gothic" w:eastAsia="Arial" w:hAnsi="Century Gothic" w:cs="Arial"/>
        </w:rPr>
        <w:t>221/01</w:t>
      </w:r>
      <w:r w:rsidRPr="00B42C85">
        <w:rPr>
          <w:rFonts w:ascii="Century Gothic" w:hAnsi="Century Gothic"/>
          <w:lang w:val="en-US"/>
        </w:rPr>
        <w:t xml:space="preserve">. </w:t>
      </w:r>
      <w:r w:rsidR="00E6781A">
        <w:rPr>
          <w:rFonts w:ascii="Century Gothic" w:hAnsi="Century Gothic"/>
          <w:lang w:val="en-US"/>
        </w:rPr>
        <w:t>T</w:t>
      </w:r>
      <w:r w:rsidRPr="00B42C85">
        <w:rPr>
          <w:rFonts w:ascii="Century Gothic" w:hAnsi="Century Gothic"/>
          <w:lang w:val="en-US"/>
        </w:rPr>
        <w:t>he employee responsible for</w:t>
      </w:r>
      <w:r w:rsidRPr="00E6781A">
        <w:rPr>
          <w:rFonts w:ascii="Century Gothic" w:hAnsi="Century Gothic"/>
        </w:rPr>
        <w:t xml:space="preserve"> </w:t>
      </w:r>
      <w:r w:rsidRPr="00B42C85">
        <w:rPr>
          <w:rFonts w:ascii="Century Gothic" w:hAnsi="Century Gothic"/>
          <w:lang w:val="en-US"/>
        </w:rPr>
        <w:t xml:space="preserve">maintenance used a simplified checklist that did not reflect the manufacturer’s required procedures. The logbook lacked any documentation of the </w:t>
      </w:r>
      <w:r w:rsidRPr="00E6781A">
        <w:rPr>
          <w:rFonts w:ascii="Century Gothic" w:hAnsi="Century Gothic"/>
        </w:rPr>
        <w:t xml:space="preserve">necessary </w:t>
      </w:r>
      <w:r w:rsidRPr="00B42C85">
        <w:rPr>
          <w:rFonts w:ascii="Century Gothic" w:hAnsi="Century Gothic"/>
          <w:lang w:val="en-US"/>
        </w:rPr>
        <w:t xml:space="preserve">inspection and testing of fasteners on the </w:t>
      </w:r>
      <w:r w:rsidR="00A478E3">
        <w:rPr>
          <w:rFonts w:ascii="Century Gothic" w:hAnsi="Century Gothic"/>
          <w:lang w:val="en-US"/>
        </w:rPr>
        <w:t>car</w:t>
      </w:r>
      <w:r w:rsidR="00A478E3" w:rsidRPr="00B42C85">
        <w:rPr>
          <w:rFonts w:ascii="Century Gothic" w:hAnsi="Century Gothic"/>
          <w:lang w:val="en-US"/>
        </w:rPr>
        <w:t xml:space="preserve">’s </w:t>
      </w:r>
      <w:r w:rsidRPr="00B42C85">
        <w:rPr>
          <w:rFonts w:ascii="Century Gothic" w:hAnsi="Century Gothic"/>
          <w:lang w:val="en-US"/>
        </w:rPr>
        <w:t>pivot pin assembly</w:t>
      </w:r>
      <w:r w:rsidRPr="001870FE">
        <w:rPr>
          <w:rFonts w:ascii="Century Gothic" w:hAnsi="Century Gothic"/>
          <w:lang w:val="en-US"/>
        </w:rPr>
        <w:t xml:space="preserve"> – a </w:t>
      </w:r>
      <w:r w:rsidRPr="00B42C85">
        <w:rPr>
          <w:rFonts w:ascii="Century Gothic" w:hAnsi="Century Gothic"/>
          <w:lang w:val="en-US"/>
        </w:rPr>
        <w:t xml:space="preserve">failure </w:t>
      </w:r>
      <w:r w:rsidRPr="001870FE">
        <w:rPr>
          <w:rFonts w:ascii="Century Gothic" w:hAnsi="Century Gothic"/>
          <w:lang w:val="en-US"/>
        </w:rPr>
        <w:t xml:space="preserve">that </w:t>
      </w:r>
      <w:r w:rsidRPr="00B42C85">
        <w:rPr>
          <w:rFonts w:ascii="Century Gothic" w:hAnsi="Century Gothic"/>
          <w:lang w:val="en-US"/>
        </w:rPr>
        <w:t>led to the unit's unexpected detachment.</w:t>
      </w:r>
    </w:p>
    <w:p w14:paraId="6345FB9B" w14:textId="77777777" w:rsidR="001870FE" w:rsidRPr="001870FE" w:rsidRDefault="001870FE" w:rsidP="001870FE">
      <w:pPr>
        <w:rPr>
          <w:rFonts w:ascii="Century Gothic" w:hAnsi="Century Gothic"/>
          <w:lang w:val="en-US"/>
        </w:rPr>
      </w:pPr>
      <w:r w:rsidRPr="001870FE">
        <w:rPr>
          <w:rFonts w:ascii="Century Gothic" w:hAnsi="Century Gothic"/>
          <w:lang w:val="en-US"/>
        </w:rPr>
        <w:t>“Maintenance is just as important as installation when it comes to amusement ride safety,” said AJ Kadirgamar, Director of TSSA’s Amusement Devices Safety Program. “Installation ensures a ride is set up for safe use, but ongoing maintenance ensures it remains safe over time. Overlooking key procedures or failing to document them can put users at serious risk.</w:t>
      </w:r>
    </w:p>
    <w:p w14:paraId="0ED2458C" w14:textId="27745036" w:rsidR="001870FE" w:rsidRDefault="001870FE" w:rsidP="001870FE">
      <w:pPr>
        <w:rPr>
          <w:rFonts w:ascii="Century Gothic" w:hAnsi="Century Gothic"/>
          <w:lang w:val="en-US"/>
        </w:rPr>
      </w:pPr>
      <w:r w:rsidRPr="001870FE">
        <w:rPr>
          <w:rFonts w:ascii="Century Gothic" w:hAnsi="Century Gothic"/>
          <w:lang w:val="en-US"/>
        </w:rPr>
        <w:t xml:space="preserve">Every detail matters in maintenance, and the purpose of the logbook is to record all safety actions </w:t>
      </w:r>
      <w:r>
        <w:rPr>
          <w:rFonts w:ascii="Century Gothic" w:hAnsi="Century Gothic"/>
          <w:lang w:val="en-US"/>
        </w:rPr>
        <w:t>carried out</w:t>
      </w:r>
      <w:r w:rsidRPr="001870FE">
        <w:rPr>
          <w:rFonts w:ascii="Century Gothic" w:hAnsi="Century Gothic"/>
          <w:lang w:val="en-US"/>
        </w:rPr>
        <w:t>. As</w:t>
      </w:r>
      <w:r>
        <w:rPr>
          <w:rFonts w:ascii="Century Gothic" w:hAnsi="Century Gothic"/>
          <w:lang w:val="en-US"/>
        </w:rPr>
        <w:t xml:space="preserve"> the</w:t>
      </w:r>
      <w:r w:rsidRPr="001870FE">
        <w:rPr>
          <w:rFonts w:ascii="Century Gothic" w:hAnsi="Century Gothic"/>
          <w:lang w:val="en-US"/>
        </w:rPr>
        <w:t xml:space="preserve"> regulator, we urge amusement device operators to devote the necessary attention and effort to </w:t>
      </w:r>
      <w:r w:rsidR="008209EF">
        <w:rPr>
          <w:rFonts w:ascii="Century Gothic" w:hAnsi="Century Gothic"/>
          <w:lang w:val="en-US"/>
        </w:rPr>
        <w:t xml:space="preserve">this </w:t>
      </w:r>
      <w:r w:rsidR="009E2A59">
        <w:rPr>
          <w:rFonts w:ascii="Century Gothic" w:hAnsi="Century Gothic"/>
          <w:lang w:val="en-US"/>
        </w:rPr>
        <w:t>safety process designed t</w:t>
      </w:r>
      <w:r w:rsidRPr="001870FE">
        <w:rPr>
          <w:rFonts w:ascii="Century Gothic" w:hAnsi="Century Gothic"/>
          <w:lang w:val="en-US"/>
        </w:rPr>
        <w:t xml:space="preserve">o </w:t>
      </w:r>
      <w:r w:rsidR="008209EF">
        <w:rPr>
          <w:rFonts w:ascii="Century Gothic" w:hAnsi="Century Gothic"/>
          <w:lang w:val="en-US"/>
        </w:rPr>
        <w:t xml:space="preserve">help </w:t>
      </w:r>
      <w:r w:rsidRPr="001870FE">
        <w:rPr>
          <w:rFonts w:ascii="Century Gothic" w:hAnsi="Century Gothic"/>
          <w:lang w:val="en-US"/>
        </w:rPr>
        <w:t>protect both property and passengers.”</w:t>
      </w:r>
    </w:p>
    <w:p w14:paraId="1D105FE0" w14:textId="39BE916D" w:rsidR="007B5DE6" w:rsidRDefault="007B5DE6" w:rsidP="007B5DE6">
      <w:pPr>
        <w:rPr>
          <w:rFonts w:ascii="Century Gothic" w:hAnsi="Century Gothic"/>
          <w:lang w:val="en-US"/>
        </w:rPr>
      </w:pPr>
      <w:r w:rsidRPr="00836C1C">
        <w:rPr>
          <w:rFonts w:ascii="Century Gothic" w:hAnsi="Century Gothic"/>
          <w:lang w:val="en-US"/>
        </w:rPr>
        <w:t>TSSA</w:t>
      </w:r>
      <w:r>
        <w:rPr>
          <w:rFonts w:ascii="Century Gothic" w:hAnsi="Century Gothic"/>
          <w:lang w:val="en-US"/>
        </w:rPr>
        <w:t>’s</w:t>
      </w:r>
      <w:r w:rsidRPr="00836C1C">
        <w:rPr>
          <w:rFonts w:ascii="Century Gothic" w:hAnsi="Century Gothic"/>
          <w:lang w:val="en-US"/>
        </w:rPr>
        <w:t xml:space="preserve"> data show that failures in maintenance </w:t>
      </w:r>
      <w:r>
        <w:rPr>
          <w:rFonts w:ascii="Century Gothic" w:hAnsi="Century Gothic"/>
          <w:lang w:val="en-US"/>
        </w:rPr>
        <w:t xml:space="preserve">and </w:t>
      </w:r>
      <w:r w:rsidRPr="00836C1C">
        <w:rPr>
          <w:rFonts w:ascii="Century Gothic" w:hAnsi="Century Gothic"/>
          <w:lang w:val="en-US"/>
        </w:rPr>
        <w:t>record-keeping</w:t>
      </w:r>
      <w:r>
        <w:rPr>
          <w:rFonts w:ascii="Century Gothic" w:hAnsi="Century Gothic"/>
          <w:lang w:val="en-US"/>
        </w:rPr>
        <w:t xml:space="preserve"> </w:t>
      </w:r>
      <w:r w:rsidRPr="00836C1C">
        <w:rPr>
          <w:rFonts w:ascii="Century Gothic" w:hAnsi="Century Gothic"/>
          <w:lang w:val="en-US"/>
        </w:rPr>
        <w:t>remain a</w:t>
      </w:r>
      <w:r>
        <w:rPr>
          <w:rFonts w:ascii="Century Gothic" w:hAnsi="Century Gothic"/>
          <w:lang w:val="en-US"/>
        </w:rPr>
        <w:t xml:space="preserve"> key </w:t>
      </w:r>
      <w:r w:rsidRPr="00836C1C">
        <w:rPr>
          <w:rFonts w:ascii="Century Gothic" w:hAnsi="Century Gothic"/>
          <w:lang w:val="en-US"/>
        </w:rPr>
        <w:t xml:space="preserve">compliance issue in the amusement devices sector. According to </w:t>
      </w:r>
      <w:hyperlink r:id="rId10" w:history="1">
        <w:r w:rsidRPr="00F00D64">
          <w:rPr>
            <w:rStyle w:val="Hyperlink"/>
            <w:rFonts w:ascii="Century Gothic" w:hAnsi="Century Gothic"/>
            <w:lang w:val="en-US"/>
          </w:rPr>
          <w:t xml:space="preserve">TSSA’s </w:t>
        </w:r>
        <w:r>
          <w:rPr>
            <w:rStyle w:val="Hyperlink"/>
            <w:rFonts w:ascii="Century Gothic" w:hAnsi="Century Gothic"/>
            <w:lang w:val="en-US"/>
          </w:rPr>
          <w:t xml:space="preserve">latest </w:t>
        </w:r>
        <w:r w:rsidRPr="00F00D64">
          <w:rPr>
            <w:rStyle w:val="Hyperlink"/>
            <w:rFonts w:ascii="Century Gothic" w:hAnsi="Century Gothic"/>
            <w:lang w:val="en-US"/>
          </w:rPr>
          <w:t>Public Safety Report</w:t>
        </w:r>
      </w:hyperlink>
      <w:r w:rsidRPr="00836C1C">
        <w:rPr>
          <w:rFonts w:ascii="Century Gothic" w:hAnsi="Century Gothic"/>
          <w:lang w:val="en-US"/>
        </w:rPr>
        <w:t xml:space="preserve">, the highest number of orders issued during periodic inspections of amusement devices in fiscal year 2024 — accounting for 7.69% of all orders — were </w:t>
      </w:r>
      <w:r>
        <w:rPr>
          <w:rFonts w:ascii="Century Gothic" w:hAnsi="Century Gothic"/>
          <w:lang w:val="en-US"/>
        </w:rPr>
        <w:t xml:space="preserve">related to operators’ failure to ensure </w:t>
      </w:r>
      <w:r w:rsidRPr="00836C1C">
        <w:rPr>
          <w:rFonts w:ascii="Century Gothic" w:hAnsi="Century Gothic"/>
          <w:lang w:val="en-US"/>
        </w:rPr>
        <w:t xml:space="preserve">that certified mechanics performed periodic maintenance and documented it in </w:t>
      </w:r>
      <w:r>
        <w:rPr>
          <w:rFonts w:ascii="Century Gothic" w:hAnsi="Century Gothic"/>
          <w:lang w:val="en-US"/>
        </w:rPr>
        <w:t xml:space="preserve">the </w:t>
      </w:r>
      <w:r w:rsidRPr="00836C1C">
        <w:rPr>
          <w:rFonts w:ascii="Century Gothic" w:hAnsi="Century Gothic"/>
          <w:lang w:val="en-US"/>
        </w:rPr>
        <w:t>associated log books.</w:t>
      </w:r>
    </w:p>
    <w:p w14:paraId="1716B819" w14:textId="77777777" w:rsidR="007B5DE6" w:rsidRPr="001870FE" w:rsidRDefault="007B5DE6" w:rsidP="001870FE">
      <w:pPr>
        <w:rPr>
          <w:rFonts w:ascii="Century Gothic" w:hAnsi="Century Gothic"/>
          <w:lang w:val="en-US"/>
        </w:rPr>
      </w:pPr>
    </w:p>
    <w:p w14:paraId="45CF49FE" w14:textId="752D7DEB" w:rsidR="00B42C85" w:rsidRPr="00B42C85" w:rsidRDefault="00B42C85" w:rsidP="00B42C85">
      <w:pPr>
        <w:rPr>
          <w:rFonts w:ascii="Century Gothic" w:hAnsi="Century Gothic"/>
          <w:b/>
          <w:bCs/>
          <w:lang w:val="en-US"/>
        </w:rPr>
      </w:pPr>
      <w:r w:rsidRPr="00B42C85">
        <w:rPr>
          <w:rFonts w:ascii="Century Gothic" w:hAnsi="Century Gothic"/>
          <w:b/>
          <w:bCs/>
          <w:lang w:val="en-US"/>
        </w:rPr>
        <w:t>About TSSA</w:t>
      </w:r>
    </w:p>
    <w:p w14:paraId="3C567EB3" w14:textId="77777777" w:rsidR="00B42C85" w:rsidRDefault="00B42C85" w:rsidP="00B42C85">
      <w:pPr>
        <w:rPr>
          <w:rFonts w:ascii="Century Gothic" w:hAnsi="Century Gothic"/>
          <w:lang w:val="en-US"/>
        </w:rPr>
      </w:pPr>
      <w:r w:rsidRPr="00B42C85">
        <w:rPr>
          <w:rFonts w:ascii="Century Gothic" w:hAnsi="Century Gothic"/>
          <w:lang w:val="en-US"/>
        </w:rPr>
        <w:lastRenderedPageBreak/>
        <w:t>The Technical Standards and Safety Authority (TSSA) is one of Ontario’s public safety regulators mandated by the Government of Ontario to enforce provincial safety regulations and enhance public safety. Throughout Ontario, TSSA regulates the safety of amusement devices, boilers and pressure vessels, elevating devices, fuels, operating engineers, and ski lifts. Its range of safety services include public education and consumer information, certification, licensing and registration, engineering design review, inspections, investigations, safety management consultation, compliance support and enforcement and prosecution activities. The organization’s vision is to be a valued advocate and recognized authority in public safety. </w:t>
      </w:r>
    </w:p>
    <w:p w14:paraId="016E5A78" w14:textId="77777777" w:rsidR="0022791E" w:rsidRPr="00B42C85" w:rsidRDefault="0022791E" w:rsidP="00B42C85">
      <w:pPr>
        <w:rPr>
          <w:rFonts w:ascii="Century Gothic" w:hAnsi="Century Gothic"/>
          <w:lang w:val="en-US"/>
        </w:rPr>
      </w:pPr>
    </w:p>
    <w:p w14:paraId="5D47624E" w14:textId="6DB450AC" w:rsidR="00B42C85" w:rsidRPr="00B42C85" w:rsidRDefault="00B42C85" w:rsidP="00836C1C">
      <w:pPr>
        <w:jc w:val="center"/>
        <w:rPr>
          <w:rFonts w:ascii="Century Gothic" w:hAnsi="Century Gothic"/>
          <w:lang w:val="en-US"/>
        </w:rPr>
      </w:pPr>
      <w:r w:rsidRPr="00B42C85">
        <w:rPr>
          <w:rFonts w:ascii="Century Gothic" w:hAnsi="Century Gothic"/>
          <w:lang w:val="en-US"/>
        </w:rPr>
        <w:t>-30-</w:t>
      </w:r>
    </w:p>
    <w:p w14:paraId="16933CE7" w14:textId="77777777" w:rsidR="00B42C85" w:rsidRPr="00B42C85" w:rsidRDefault="00B42C85" w:rsidP="00836C1C">
      <w:pPr>
        <w:spacing w:after="0" w:line="240" w:lineRule="auto"/>
        <w:rPr>
          <w:rFonts w:ascii="Century Gothic" w:hAnsi="Century Gothic"/>
          <w:lang w:val="en-US"/>
        </w:rPr>
      </w:pPr>
      <w:r w:rsidRPr="00B42C85">
        <w:rPr>
          <w:rFonts w:ascii="Century Gothic" w:hAnsi="Century Gothic"/>
          <w:lang w:val="en-US"/>
        </w:rPr>
        <w:t>For more information, please contact: </w:t>
      </w:r>
    </w:p>
    <w:p w14:paraId="29943958" w14:textId="77777777" w:rsidR="00B42C85" w:rsidRPr="00B42C85" w:rsidRDefault="00B42C85" w:rsidP="00836C1C">
      <w:pPr>
        <w:spacing w:after="0" w:line="240" w:lineRule="auto"/>
        <w:rPr>
          <w:rFonts w:ascii="Century Gothic" w:hAnsi="Century Gothic"/>
          <w:lang w:val="en-US"/>
        </w:rPr>
      </w:pPr>
      <w:r w:rsidRPr="00B42C85">
        <w:rPr>
          <w:rFonts w:ascii="Century Gothic" w:hAnsi="Century Gothic"/>
          <w:lang w:val="en-US"/>
        </w:rPr>
        <w:t>Alexandra Campbell </w:t>
      </w:r>
    </w:p>
    <w:p w14:paraId="3ED5FD47" w14:textId="77777777" w:rsidR="0022791E" w:rsidRDefault="00B42C85" w:rsidP="00836C1C">
      <w:pPr>
        <w:spacing w:after="0" w:line="240" w:lineRule="auto"/>
        <w:rPr>
          <w:rFonts w:ascii="Century Gothic" w:hAnsi="Century Gothic"/>
          <w:lang w:val="en-US"/>
        </w:rPr>
      </w:pPr>
      <w:r w:rsidRPr="00B42C85">
        <w:rPr>
          <w:rFonts w:ascii="Century Gothic" w:hAnsi="Century Gothic"/>
          <w:lang w:val="en-US"/>
        </w:rPr>
        <w:t xml:space="preserve">Vice President, Communications, Stakeholder Engagement </w:t>
      </w:r>
    </w:p>
    <w:p w14:paraId="3668AD20" w14:textId="019150D0" w:rsidR="00B42C85" w:rsidRPr="00B42C85" w:rsidRDefault="00B42C85" w:rsidP="00836C1C">
      <w:pPr>
        <w:spacing w:after="0" w:line="240" w:lineRule="auto"/>
        <w:rPr>
          <w:rFonts w:ascii="Century Gothic" w:hAnsi="Century Gothic"/>
          <w:lang w:val="en-US"/>
        </w:rPr>
      </w:pPr>
      <w:r w:rsidRPr="00B42C85">
        <w:rPr>
          <w:rFonts w:ascii="Century Gothic" w:hAnsi="Century Gothic"/>
          <w:lang w:val="en-US"/>
        </w:rPr>
        <w:t>and Customer Service </w:t>
      </w:r>
    </w:p>
    <w:p w14:paraId="68C67B64" w14:textId="77777777" w:rsidR="00B42C85" w:rsidRPr="00B42C85" w:rsidRDefault="00B42C85" w:rsidP="00836C1C">
      <w:pPr>
        <w:spacing w:after="0" w:line="240" w:lineRule="auto"/>
        <w:rPr>
          <w:rFonts w:ascii="Century Gothic" w:hAnsi="Century Gothic"/>
          <w:lang w:val="en-US"/>
        </w:rPr>
      </w:pPr>
      <w:r w:rsidRPr="00B42C85">
        <w:rPr>
          <w:rFonts w:ascii="Century Gothic" w:hAnsi="Century Gothic"/>
          <w:lang w:val="en-US"/>
        </w:rPr>
        <w:t>Technical Standards and Safety Authority </w:t>
      </w:r>
    </w:p>
    <w:p w14:paraId="21789235" w14:textId="77777777" w:rsidR="00B42C85" w:rsidRPr="00B42C85" w:rsidRDefault="00B42C85" w:rsidP="00836C1C">
      <w:pPr>
        <w:spacing w:after="0" w:line="240" w:lineRule="auto"/>
        <w:rPr>
          <w:rFonts w:ascii="Century Gothic" w:hAnsi="Century Gothic"/>
          <w:lang w:val="en-US"/>
        </w:rPr>
      </w:pPr>
      <w:r w:rsidRPr="00B42C85">
        <w:rPr>
          <w:rFonts w:ascii="Century Gothic" w:hAnsi="Century Gothic"/>
          <w:lang w:val="en-US"/>
        </w:rPr>
        <w:t>Telephone: 416-734-6227 </w:t>
      </w:r>
    </w:p>
    <w:p w14:paraId="45530143" w14:textId="35B938CE" w:rsidR="00B42C85" w:rsidRPr="00E6781A" w:rsidRDefault="00B42C85" w:rsidP="00836C1C">
      <w:pPr>
        <w:spacing w:after="0" w:line="240" w:lineRule="auto"/>
        <w:rPr>
          <w:rFonts w:ascii="Century Gothic" w:hAnsi="Century Gothic"/>
          <w:lang w:val="en-US"/>
        </w:rPr>
      </w:pPr>
      <w:r w:rsidRPr="00B42C85">
        <w:rPr>
          <w:rFonts w:ascii="Century Gothic" w:hAnsi="Century Gothic"/>
          <w:lang w:val="en-US"/>
        </w:rPr>
        <w:t>Email: media@tssa.org</w:t>
      </w:r>
    </w:p>
    <w:sectPr w:rsidR="00B42C85" w:rsidRPr="00E6781A">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6A58" w14:textId="77777777" w:rsidR="006D3597" w:rsidRDefault="006D3597" w:rsidP="00B42C85">
      <w:pPr>
        <w:spacing w:after="0" w:line="240" w:lineRule="auto"/>
      </w:pPr>
      <w:r>
        <w:separator/>
      </w:r>
    </w:p>
  </w:endnote>
  <w:endnote w:type="continuationSeparator" w:id="0">
    <w:p w14:paraId="215BF14A" w14:textId="77777777" w:rsidR="006D3597" w:rsidRDefault="006D3597" w:rsidP="00B4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4557" w14:textId="77777777" w:rsidR="006D3597" w:rsidRDefault="006D3597" w:rsidP="00B42C85">
      <w:pPr>
        <w:spacing w:after="0" w:line="240" w:lineRule="auto"/>
      </w:pPr>
      <w:r>
        <w:separator/>
      </w:r>
    </w:p>
  </w:footnote>
  <w:footnote w:type="continuationSeparator" w:id="0">
    <w:p w14:paraId="4F4CCE64" w14:textId="77777777" w:rsidR="006D3597" w:rsidRDefault="006D3597" w:rsidP="00B42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Borders>
        <w:insideV w:val="single" w:sz="4" w:space="0" w:color="auto"/>
      </w:tblBorders>
      <w:tblLayout w:type="fixed"/>
      <w:tblLook w:val="01E0" w:firstRow="1" w:lastRow="1" w:firstColumn="1" w:lastColumn="1" w:noHBand="0" w:noVBand="0"/>
    </w:tblPr>
    <w:tblGrid>
      <w:gridCol w:w="5387"/>
      <w:gridCol w:w="4063"/>
    </w:tblGrid>
    <w:tr w:rsidR="00B42C85" w14:paraId="7182B6B8" w14:textId="77777777" w:rsidTr="00546593">
      <w:tc>
        <w:tcPr>
          <w:tcW w:w="5387" w:type="dxa"/>
          <w:tcBorders>
            <w:right w:val="single" w:sz="4" w:space="0" w:color="333333"/>
          </w:tcBorders>
        </w:tcPr>
        <w:p w14:paraId="0C2EB4E7" w14:textId="77777777" w:rsidR="00B42C85" w:rsidRPr="00233740" w:rsidRDefault="00B42C85" w:rsidP="00B42C85">
          <w:pPr>
            <w:pStyle w:val="Header"/>
          </w:pPr>
          <w:r w:rsidRPr="00233740">
            <w:rPr>
              <w:noProof/>
            </w:rPr>
            <w:drawing>
              <wp:inline distT="0" distB="0" distL="0" distR="0" wp14:anchorId="3EA89C37" wp14:editId="657DCF0F">
                <wp:extent cx="733425" cy="733425"/>
                <wp:effectExtent l="19050" t="0" r="9525" b="0"/>
                <wp:docPr id="1" name="Picture 1" descr="TSSA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SA Red Logo"/>
                        <pic:cNvPicPr>
                          <a:picLocks noChangeAspect="1" noChangeArrowheads="1"/>
                        </pic:cNvPicPr>
                      </pic:nvPicPr>
                      <pic:blipFill>
                        <a:blip r:embed="rId1"/>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4063" w:type="dxa"/>
          <w:tcBorders>
            <w:left w:val="single" w:sz="4" w:space="0" w:color="333333"/>
          </w:tcBorders>
        </w:tcPr>
        <w:p w14:paraId="672B0B9A" w14:textId="143721E0" w:rsidR="00B42C85" w:rsidRPr="00B42C85" w:rsidRDefault="00DD4A09" w:rsidP="00B42C85">
          <w:pPr>
            <w:rPr>
              <w:rFonts w:ascii="Bookman Old Style" w:hAnsi="Bookman Old Style"/>
              <w:b/>
              <w:spacing w:val="20"/>
              <w:sz w:val="28"/>
              <w:szCs w:val="28"/>
            </w:rPr>
          </w:pPr>
          <w:r>
            <w:rPr>
              <w:rFonts w:ascii="Bookman Old Style" w:hAnsi="Bookman Old Style"/>
              <w:b/>
              <w:spacing w:val="20"/>
              <w:sz w:val="28"/>
              <w:szCs w:val="28"/>
            </w:rPr>
            <w:t>Magical Midways Inc.</w:t>
          </w:r>
          <w:r w:rsidR="00B42C85" w:rsidRPr="00B42C85">
            <w:rPr>
              <w:rFonts w:ascii="Bookman Old Style" w:hAnsi="Bookman Old Style"/>
              <w:b/>
              <w:spacing w:val="20"/>
              <w:sz w:val="28"/>
              <w:szCs w:val="28"/>
            </w:rPr>
            <w:t xml:space="preserve"> Pleads Guilty t</w:t>
          </w:r>
          <w:r w:rsidR="00B42C85">
            <w:rPr>
              <w:rFonts w:ascii="Bookman Old Style" w:hAnsi="Bookman Old Style"/>
              <w:b/>
              <w:spacing w:val="20"/>
              <w:sz w:val="28"/>
              <w:szCs w:val="28"/>
            </w:rPr>
            <w:t>o</w:t>
          </w:r>
          <w:r w:rsidR="00E6781A">
            <w:rPr>
              <w:rFonts w:ascii="Bookman Old Style" w:hAnsi="Bookman Old Style"/>
              <w:b/>
              <w:spacing w:val="20"/>
              <w:sz w:val="28"/>
              <w:szCs w:val="28"/>
            </w:rPr>
            <w:t xml:space="preserve"> </w:t>
          </w:r>
          <w:r w:rsidR="00C74099">
            <w:rPr>
              <w:rFonts w:ascii="Bookman Old Style" w:hAnsi="Bookman Old Style"/>
              <w:b/>
              <w:spacing w:val="20"/>
              <w:sz w:val="28"/>
              <w:szCs w:val="28"/>
            </w:rPr>
            <w:t>Safety Maintenance</w:t>
          </w:r>
          <w:r w:rsidR="00E6781A">
            <w:rPr>
              <w:rFonts w:ascii="Bookman Old Style" w:hAnsi="Bookman Old Style"/>
              <w:b/>
              <w:spacing w:val="20"/>
              <w:sz w:val="28"/>
              <w:szCs w:val="28"/>
            </w:rPr>
            <w:t xml:space="preserve"> Violation</w:t>
          </w:r>
        </w:p>
        <w:p w14:paraId="0055F9E0" w14:textId="77777777" w:rsidR="00B42C85" w:rsidRDefault="00B42C85" w:rsidP="00B42C85">
          <w:pPr>
            <w:autoSpaceDE w:val="0"/>
            <w:autoSpaceDN w:val="0"/>
            <w:adjustRightInd w:val="0"/>
            <w:spacing w:before="20" w:after="20"/>
            <w:rPr>
              <w:rFonts w:ascii="Century Gothic" w:hAnsi="Century Gothic"/>
              <w:bCs/>
              <w:spacing w:val="20"/>
            </w:rPr>
          </w:pPr>
        </w:p>
        <w:p w14:paraId="306D7087" w14:textId="6CB96337" w:rsidR="00B42C85" w:rsidRPr="00233740" w:rsidRDefault="00907A3C" w:rsidP="00B42C85">
          <w:pPr>
            <w:autoSpaceDE w:val="0"/>
            <w:autoSpaceDN w:val="0"/>
            <w:adjustRightInd w:val="0"/>
            <w:spacing w:before="20" w:after="20"/>
            <w:rPr>
              <w:rFonts w:ascii="Arial Narrow" w:hAnsi="Arial Narrow"/>
              <w:bCs/>
              <w:spacing w:val="20"/>
            </w:rPr>
          </w:pPr>
          <w:r>
            <w:rPr>
              <w:rFonts w:ascii="Century Gothic" w:hAnsi="Century Gothic"/>
              <w:bCs/>
              <w:spacing w:val="20"/>
            </w:rPr>
            <w:t>July 2</w:t>
          </w:r>
          <w:r w:rsidR="00B42C85" w:rsidRPr="00233740">
            <w:rPr>
              <w:rFonts w:ascii="Century Gothic" w:hAnsi="Century Gothic"/>
              <w:bCs/>
              <w:spacing w:val="20"/>
            </w:rPr>
            <w:t>, 2025</w:t>
          </w:r>
        </w:p>
      </w:tc>
    </w:tr>
  </w:tbl>
  <w:p w14:paraId="028C2EDF" w14:textId="77777777" w:rsidR="00B42C85" w:rsidRDefault="00B42C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85"/>
    <w:rsid w:val="00044F66"/>
    <w:rsid w:val="00061F90"/>
    <w:rsid w:val="000A0A56"/>
    <w:rsid w:val="000E2847"/>
    <w:rsid w:val="0016162F"/>
    <w:rsid w:val="001870FE"/>
    <w:rsid w:val="001F4AC1"/>
    <w:rsid w:val="0022791E"/>
    <w:rsid w:val="00283E3D"/>
    <w:rsid w:val="0029692B"/>
    <w:rsid w:val="003975A1"/>
    <w:rsid w:val="003A1FB9"/>
    <w:rsid w:val="003D7873"/>
    <w:rsid w:val="003E3BD3"/>
    <w:rsid w:val="004E5652"/>
    <w:rsid w:val="00546593"/>
    <w:rsid w:val="00565D94"/>
    <w:rsid w:val="00610EDD"/>
    <w:rsid w:val="00623128"/>
    <w:rsid w:val="006440EC"/>
    <w:rsid w:val="0067689E"/>
    <w:rsid w:val="006D3597"/>
    <w:rsid w:val="007316C9"/>
    <w:rsid w:val="007B5DE6"/>
    <w:rsid w:val="007E633D"/>
    <w:rsid w:val="008209EF"/>
    <w:rsid w:val="00836C1C"/>
    <w:rsid w:val="00891271"/>
    <w:rsid w:val="008F7F33"/>
    <w:rsid w:val="00907A3C"/>
    <w:rsid w:val="00994289"/>
    <w:rsid w:val="009A79E0"/>
    <w:rsid w:val="009D5F40"/>
    <w:rsid w:val="009E2A59"/>
    <w:rsid w:val="00A478E3"/>
    <w:rsid w:val="00AE544A"/>
    <w:rsid w:val="00B42C85"/>
    <w:rsid w:val="00B618AA"/>
    <w:rsid w:val="00B97721"/>
    <w:rsid w:val="00BB62B0"/>
    <w:rsid w:val="00C16E32"/>
    <w:rsid w:val="00C714B3"/>
    <w:rsid w:val="00C74099"/>
    <w:rsid w:val="00C82F14"/>
    <w:rsid w:val="00C90DEB"/>
    <w:rsid w:val="00D15D34"/>
    <w:rsid w:val="00D94532"/>
    <w:rsid w:val="00DB0CA6"/>
    <w:rsid w:val="00DD4A09"/>
    <w:rsid w:val="00DE4D49"/>
    <w:rsid w:val="00E2261D"/>
    <w:rsid w:val="00E401E6"/>
    <w:rsid w:val="00E6781A"/>
    <w:rsid w:val="00E874E6"/>
    <w:rsid w:val="00ED184E"/>
    <w:rsid w:val="00F00D64"/>
    <w:rsid w:val="00F04063"/>
    <w:rsid w:val="00F1233A"/>
    <w:rsid w:val="00F512D8"/>
    <w:rsid w:val="00F67912"/>
    <w:rsid w:val="00FC14B9"/>
    <w:rsid w:val="00FE409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0875"/>
  <w15:chartTrackingRefBased/>
  <w15:docId w15:val="{A74B267D-1188-4B71-90A4-073203AC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C85"/>
    <w:rPr>
      <w:rFonts w:eastAsiaTheme="majorEastAsia" w:cstheme="majorBidi"/>
      <w:color w:val="272727" w:themeColor="text1" w:themeTint="D8"/>
    </w:rPr>
  </w:style>
  <w:style w:type="paragraph" w:styleId="Title">
    <w:name w:val="Title"/>
    <w:basedOn w:val="Normal"/>
    <w:next w:val="Normal"/>
    <w:link w:val="TitleChar"/>
    <w:uiPriority w:val="10"/>
    <w:qFormat/>
    <w:rsid w:val="00B42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C85"/>
    <w:pPr>
      <w:spacing w:before="160"/>
      <w:jc w:val="center"/>
    </w:pPr>
    <w:rPr>
      <w:i/>
      <w:iCs/>
      <w:color w:val="404040" w:themeColor="text1" w:themeTint="BF"/>
    </w:rPr>
  </w:style>
  <w:style w:type="character" w:customStyle="1" w:styleId="QuoteChar">
    <w:name w:val="Quote Char"/>
    <w:basedOn w:val="DefaultParagraphFont"/>
    <w:link w:val="Quote"/>
    <w:uiPriority w:val="29"/>
    <w:rsid w:val="00B42C85"/>
    <w:rPr>
      <w:i/>
      <w:iCs/>
      <w:color w:val="404040" w:themeColor="text1" w:themeTint="BF"/>
    </w:rPr>
  </w:style>
  <w:style w:type="paragraph" w:styleId="ListParagraph">
    <w:name w:val="List Paragraph"/>
    <w:basedOn w:val="Normal"/>
    <w:uiPriority w:val="34"/>
    <w:qFormat/>
    <w:rsid w:val="00B42C85"/>
    <w:pPr>
      <w:ind w:left="720"/>
      <w:contextualSpacing/>
    </w:pPr>
  </w:style>
  <w:style w:type="character" w:styleId="IntenseEmphasis">
    <w:name w:val="Intense Emphasis"/>
    <w:basedOn w:val="DefaultParagraphFont"/>
    <w:uiPriority w:val="21"/>
    <w:qFormat/>
    <w:rsid w:val="00B42C85"/>
    <w:rPr>
      <w:i/>
      <w:iCs/>
      <w:color w:val="0F4761" w:themeColor="accent1" w:themeShade="BF"/>
    </w:rPr>
  </w:style>
  <w:style w:type="paragraph" w:styleId="IntenseQuote">
    <w:name w:val="Intense Quote"/>
    <w:basedOn w:val="Normal"/>
    <w:next w:val="Normal"/>
    <w:link w:val="IntenseQuoteChar"/>
    <w:uiPriority w:val="30"/>
    <w:qFormat/>
    <w:rsid w:val="00B42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C85"/>
    <w:rPr>
      <w:i/>
      <w:iCs/>
      <w:color w:val="0F4761" w:themeColor="accent1" w:themeShade="BF"/>
    </w:rPr>
  </w:style>
  <w:style w:type="character" w:styleId="IntenseReference">
    <w:name w:val="Intense Reference"/>
    <w:basedOn w:val="DefaultParagraphFont"/>
    <w:uiPriority w:val="32"/>
    <w:qFormat/>
    <w:rsid w:val="00B42C85"/>
    <w:rPr>
      <w:b/>
      <w:bCs/>
      <w:smallCaps/>
      <w:color w:val="0F4761" w:themeColor="accent1" w:themeShade="BF"/>
      <w:spacing w:val="5"/>
    </w:rPr>
  </w:style>
  <w:style w:type="paragraph" w:styleId="Header">
    <w:name w:val="header"/>
    <w:basedOn w:val="Normal"/>
    <w:link w:val="HeaderChar"/>
    <w:unhideWhenUsed/>
    <w:rsid w:val="00B42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C85"/>
  </w:style>
  <w:style w:type="paragraph" w:styleId="Footer">
    <w:name w:val="footer"/>
    <w:basedOn w:val="Normal"/>
    <w:link w:val="FooterChar"/>
    <w:uiPriority w:val="99"/>
    <w:unhideWhenUsed/>
    <w:rsid w:val="00B42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C85"/>
  </w:style>
  <w:style w:type="character" w:styleId="Hyperlink">
    <w:name w:val="Hyperlink"/>
    <w:basedOn w:val="DefaultParagraphFont"/>
    <w:uiPriority w:val="99"/>
    <w:unhideWhenUsed/>
    <w:rsid w:val="00F00D64"/>
    <w:rPr>
      <w:color w:val="467886" w:themeColor="hyperlink"/>
      <w:u w:val="single"/>
    </w:rPr>
  </w:style>
  <w:style w:type="character" w:styleId="UnresolvedMention">
    <w:name w:val="Unresolved Mention"/>
    <w:basedOn w:val="DefaultParagraphFont"/>
    <w:uiPriority w:val="99"/>
    <w:semiHidden/>
    <w:unhideWhenUsed/>
    <w:rsid w:val="00F00D64"/>
    <w:rPr>
      <w:color w:val="605E5C"/>
      <w:shd w:val="clear" w:color="auto" w:fill="E1DFDD"/>
    </w:rPr>
  </w:style>
  <w:style w:type="character" w:styleId="CommentReference">
    <w:name w:val="annotation reference"/>
    <w:basedOn w:val="DefaultParagraphFont"/>
    <w:uiPriority w:val="99"/>
    <w:semiHidden/>
    <w:unhideWhenUsed/>
    <w:rsid w:val="000E2847"/>
    <w:rPr>
      <w:sz w:val="16"/>
      <w:szCs w:val="16"/>
    </w:rPr>
  </w:style>
  <w:style w:type="paragraph" w:styleId="CommentText">
    <w:name w:val="annotation text"/>
    <w:basedOn w:val="Normal"/>
    <w:link w:val="CommentTextChar"/>
    <w:uiPriority w:val="99"/>
    <w:unhideWhenUsed/>
    <w:rsid w:val="000E2847"/>
    <w:pPr>
      <w:spacing w:line="240" w:lineRule="auto"/>
    </w:pPr>
    <w:rPr>
      <w:sz w:val="20"/>
      <w:szCs w:val="20"/>
    </w:rPr>
  </w:style>
  <w:style w:type="character" w:customStyle="1" w:styleId="CommentTextChar">
    <w:name w:val="Comment Text Char"/>
    <w:basedOn w:val="DefaultParagraphFont"/>
    <w:link w:val="CommentText"/>
    <w:uiPriority w:val="99"/>
    <w:rsid w:val="000E2847"/>
    <w:rPr>
      <w:sz w:val="20"/>
      <w:szCs w:val="20"/>
    </w:rPr>
  </w:style>
  <w:style w:type="paragraph" w:styleId="CommentSubject">
    <w:name w:val="annotation subject"/>
    <w:basedOn w:val="CommentText"/>
    <w:next w:val="CommentText"/>
    <w:link w:val="CommentSubjectChar"/>
    <w:uiPriority w:val="99"/>
    <w:semiHidden/>
    <w:unhideWhenUsed/>
    <w:rsid w:val="000E2847"/>
    <w:rPr>
      <w:b/>
      <w:bCs/>
    </w:rPr>
  </w:style>
  <w:style w:type="character" w:customStyle="1" w:styleId="CommentSubjectChar">
    <w:name w:val="Comment Subject Char"/>
    <w:basedOn w:val="CommentTextChar"/>
    <w:link w:val="CommentSubject"/>
    <w:uiPriority w:val="99"/>
    <w:semiHidden/>
    <w:rsid w:val="000E2847"/>
    <w:rPr>
      <w:b/>
      <w:bCs/>
      <w:sz w:val="20"/>
      <w:szCs w:val="20"/>
    </w:rPr>
  </w:style>
  <w:style w:type="paragraph" w:styleId="Revision">
    <w:name w:val="Revision"/>
    <w:hidden/>
    <w:uiPriority w:val="99"/>
    <w:semiHidden/>
    <w:rsid w:val="00A478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58503">
      <w:bodyDiv w:val="1"/>
      <w:marLeft w:val="0"/>
      <w:marRight w:val="0"/>
      <w:marTop w:val="0"/>
      <w:marBottom w:val="0"/>
      <w:divBdr>
        <w:top w:val="none" w:sz="0" w:space="0" w:color="auto"/>
        <w:left w:val="none" w:sz="0" w:space="0" w:color="auto"/>
        <w:bottom w:val="none" w:sz="0" w:space="0" w:color="auto"/>
        <w:right w:val="none" w:sz="0" w:space="0" w:color="auto"/>
      </w:divBdr>
    </w:div>
    <w:div w:id="636106472">
      <w:bodyDiv w:val="1"/>
      <w:marLeft w:val="0"/>
      <w:marRight w:val="0"/>
      <w:marTop w:val="0"/>
      <w:marBottom w:val="0"/>
      <w:divBdr>
        <w:top w:val="none" w:sz="0" w:space="0" w:color="auto"/>
        <w:left w:val="none" w:sz="0" w:space="0" w:color="auto"/>
        <w:bottom w:val="none" w:sz="0" w:space="0" w:color="auto"/>
        <w:right w:val="none" w:sz="0" w:space="0" w:color="auto"/>
      </w:divBdr>
    </w:div>
    <w:div w:id="720981401">
      <w:bodyDiv w:val="1"/>
      <w:marLeft w:val="0"/>
      <w:marRight w:val="0"/>
      <w:marTop w:val="0"/>
      <w:marBottom w:val="0"/>
      <w:divBdr>
        <w:top w:val="none" w:sz="0" w:space="0" w:color="auto"/>
        <w:left w:val="none" w:sz="0" w:space="0" w:color="auto"/>
        <w:bottom w:val="none" w:sz="0" w:space="0" w:color="auto"/>
        <w:right w:val="none" w:sz="0" w:space="0" w:color="auto"/>
      </w:divBdr>
    </w:div>
    <w:div w:id="798835896">
      <w:bodyDiv w:val="1"/>
      <w:marLeft w:val="0"/>
      <w:marRight w:val="0"/>
      <w:marTop w:val="0"/>
      <w:marBottom w:val="0"/>
      <w:divBdr>
        <w:top w:val="none" w:sz="0" w:space="0" w:color="auto"/>
        <w:left w:val="none" w:sz="0" w:space="0" w:color="auto"/>
        <w:bottom w:val="none" w:sz="0" w:space="0" w:color="auto"/>
        <w:right w:val="none" w:sz="0" w:space="0" w:color="auto"/>
      </w:divBdr>
    </w:div>
    <w:div w:id="1847331204">
      <w:bodyDiv w:val="1"/>
      <w:marLeft w:val="0"/>
      <w:marRight w:val="0"/>
      <w:marTop w:val="0"/>
      <w:marBottom w:val="0"/>
      <w:divBdr>
        <w:top w:val="none" w:sz="0" w:space="0" w:color="auto"/>
        <w:left w:val="none" w:sz="0" w:space="0" w:color="auto"/>
        <w:bottom w:val="none" w:sz="0" w:space="0" w:color="auto"/>
        <w:right w:val="none" w:sz="0" w:space="0" w:color="auto"/>
      </w:divBdr>
    </w:div>
    <w:div w:id="1879779131">
      <w:bodyDiv w:val="1"/>
      <w:marLeft w:val="0"/>
      <w:marRight w:val="0"/>
      <w:marTop w:val="0"/>
      <w:marBottom w:val="0"/>
      <w:divBdr>
        <w:top w:val="none" w:sz="0" w:space="0" w:color="auto"/>
        <w:left w:val="none" w:sz="0" w:space="0" w:color="auto"/>
        <w:bottom w:val="none" w:sz="0" w:space="0" w:color="auto"/>
        <w:right w:val="none" w:sz="0" w:space="0" w:color="auto"/>
      </w:divBdr>
    </w:div>
    <w:div w:id="2022201710">
      <w:bodyDiv w:val="1"/>
      <w:marLeft w:val="0"/>
      <w:marRight w:val="0"/>
      <w:marTop w:val="0"/>
      <w:marBottom w:val="0"/>
      <w:divBdr>
        <w:top w:val="none" w:sz="0" w:space="0" w:color="auto"/>
        <w:left w:val="none" w:sz="0" w:space="0" w:color="auto"/>
        <w:bottom w:val="none" w:sz="0" w:space="0" w:color="auto"/>
        <w:right w:val="none" w:sz="0" w:space="0" w:color="auto"/>
      </w:divBdr>
    </w:div>
    <w:div w:id="202998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tssa.org/sites/default/files/2025-04/TSSA_Public%20Safety%20Report_Apr%204%202025.pdf" TargetMode="External"/><Relationship Id="rId4" Type="http://schemas.openxmlformats.org/officeDocument/2006/relationships/styles" Target="styles.xml"/><Relationship Id="rId9" Type="http://schemas.openxmlformats.org/officeDocument/2006/relationships/hyperlink" Target="https://www.ontario.ca/laws/regulation/0102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DCB5274411B409776AB820F7EC27C" ma:contentTypeVersion="15" ma:contentTypeDescription="Create a new document." ma:contentTypeScope="" ma:versionID="99799f2c4d22478d9aa63b2827afcb7c">
  <xsd:schema xmlns:xsd="http://www.w3.org/2001/XMLSchema" xmlns:xs="http://www.w3.org/2001/XMLSchema" xmlns:p="http://schemas.microsoft.com/office/2006/metadata/properties" xmlns:ns3="7587c8ee-e621-4397-b2b0-c21b3ed1b58b" xmlns:ns4="4fd4ffb4-b6f5-4634-85a3-cb146aa02a7e" targetNamespace="http://schemas.microsoft.com/office/2006/metadata/properties" ma:root="true" ma:fieldsID="a8e5557ae2d18f1be6d6e2806dcf26df" ns3:_="" ns4:_="">
    <xsd:import namespace="7587c8ee-e621-4397-b2b0-c21b3ed1b58b"/>
    <xsd:import namespace="4fd4ffb4-b6f5-4634-85a3-cb146aa02a7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LengthInSecond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c8ee-e621-4397-b2b0-c21b3ed1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4ffb4-b6f5-4634-85a3-cb146aa02a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87c8ee-e621-4397-b2b0-c21b3ed1b58b" xsi:nil="true"/>
  </documentManagement>
</p:properties>
</file>

<file path=customXml/itemProps1.xml><?xml version="1.0" encoding="utf-8"?>
<ds:datastoreItem xmlns:ds="http://schemas.openxmlformats.org/officeDocument/2006/customXml" ds:itemID="{24151EDC-DDDF-4AD2-A315-51E3E8D1B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c8ee-e621-4397-b2b0-c21b3ed1b58b"/>
    <ds:schemaRef ds:uri="4fd4ffb4-b6f5-4634-85a3-cb146aa02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B62A2-2577-498D-BEDC-5329FE81817A}">
  <ds:schemaRefs>
    <ds:schemaRef ds:uri="http://schemas.microsoft.com/sharepoint/v3/contenttype/forms"/>
  </ds:schemaRefs>
</ds:datastoreItem>
</file>

<file path=customXml/itemProps3.xml><?xml version="1.0" encoding="utf-8"?>
<ds:datastoreItem xmlns:ds="http://schemas.openxmlformats.org/officeDocument/2006/customXml" ds:itemID="{F4A17B65-285D-4AB8-B943-80C37DF23A2F}">
  <ds:schemaRefs>
    <ds:schemaRef ds:uri="http://schemas.microsoft.com/office/2006/metadata/properties"/>
    <ds:schemaRef ds:uri="http://schemas.microsoft.com/office/infopath/2007/PartnerControls"/>
    <ds:schemaRef ds:uri="7587c8ee-e621-4397-b2b0-c21b3ed1b5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2921</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Technical Standards and Safety Authority</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Chan</dc:creator>
  <cp:keywords/>
  <dc:description/>
  <cp:lastModifiedBy>Gray Chan</cp:lastModifiedBy>
  <cp:revision>3</cp:revision>
  <dcterms:created xsi:type="dcterms:W3CDTF">2025-07-02T16:50:00Z</dcterms:created>
  <dcterms:modified xsi:type="dcterms:W3CDTF">2025-07-02T16:50:00Z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0x010100692DCB5274411B409776AB820F7EC27C</vt:lpwstr>
  </property>
</Properties>
</file>