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953644" w14:textId="25D69262" w:rsidR="00042BCC" w:rsidRPr="00F14D78" w:rsidRDefault="002F0212" w:rsidP="00F14D78">
      <w:pPr>
        <w:spacing w:after="120"/>
        <w:jc w:val="center"/>
        <w:rPr>
          <w:rFonts w:cstheme="minorHAnsi"/>
          <w:b/>
          <w:bCs/>
          <w:sz w:val="28"/>
          <w:szCs w:val="28"/>
        </w:rPr>
      </w:pPr>
      <w:r w:rsidRPr="00F14D78">
        <w:rPr>
          <w:rFonts w:cstheme="minorHAnsi"/>
          <w:b/>
          <w:bCs/>
          <w:sz w:val="28"/>
          <w:szCs w:val="28"/>
        </w:rPr>
        <w:t xml:space="preserve">Introducing </w:t>
      </w:r>
      <w:proofErr w:type="spellStart"/>
      <w:r w:rsidRPr="00F14D78">
        <w:rPr>
          <w:rFonts w:cstheme="minorHAnsi"/>
          <w:b/>
          <w:bCs/>
          <w:sz w:val="28"/>
          <w:szCs w:val="28"/>
        </w:rPr>
        <w:t>GroAdvisor</w:t>
      </w:r>
      <w:proofErr w:type="spellEnd"/>
      <w:r w:rsidRPr="00F14D78">
        <w:rPr>
          <w:rFonts w:cstheme="minorHAnsi"/>
          <w:b/>
          <w:bCs/>
          <w:sz w:val="28"/>
          <w:szCs w:val="28"/>
        </w:rPr>
        <w:t xml:space="preserve"> – a premier partnership of product and service providers</w:t>
      </w:r>
    </w:p>
    <w:p w14:paraId="66218E7F" w14:textId="0FFB30B9" w:rsidR="002F0212" w:rsidRDefault="002F0212" w:rsidP="00F14D78">
      <w:pPr>
        <w:spacing w:after="120"/>
        <w:jc w:val="center"/>
        <w:rPr>
          <w:rFonts w:cstheme="minorHAnsi"/>
          <w:sz w:val="24"/>
          <w:szCs w:val="24"/>
        </w:rPr>
      </w:pPr>
      <w:r w:rsidRPr="00F14D78">
        <w:rPr>
          <w:rFonts w:cstheme="minorHAnsi"/>
          <w:sz w:val="24"/>
          <w:szCs w:val="24"/>
        </w:rPr>
        <w:t>Industry leaders form new controlled environment agriculture partnership</w:t>
      </w:r>
    </w:p>
    <w:p w14:paraId="3288DD5C" w14:textId="77777777" w:rsidR="00F14D78" w:rsidRPr="00F14D78" w:rsidRDefault="00F14D78" w:rsidP="00F14D78">
      <w:pPr>
        <w:jc w:val="center"/>
        <w:rPr>
          <w:rFonts w:cstheme="minorHAnsi"/>
          <w:sz w:val="4"/>
          <w:szCs w:val="4"/>
        </w:rPr>
      </w:pPr>
    </w:p>
    <w:p w14:paraId="552695B8" w14:textId="51807FD6" w:rsidR="00C7143A" w:rsidRPr="005D0FA2" w:rsidRDefault="00C7143A" w:rsidP="00C7143A">
      <w:pPr>
        <w:rPr>
          <w:rFonts w:cstheme="minorHAnsi"/>
          <w:highlight w:val="yellow"/>
        </w:rPr>
      </w:pPr>
      <w:r>
        <w:rPr>
          <w:rFonts w:cstheme="minorHAnsi"/>
          <w:b/>
          <w:bCs/>
        </w:rPr>
        <w:t>B</w:t>
      </w:r>
      <w:r>
        <w:rPr>
          <w:rFonts w:cstheme="minorHAnsi"/>
          <w:b/>
          <w:bCs/>
        </w:rPr>
        <w:t>OULDER</w:t>
      </w:r>
      <w:r w:rsidRPr="005D0FA2">
        <w:rPr>
          <w:rFonts w:cstheme="minorHAnsi"/>
          <w:b/>
          <w:bCs/>
        </w:rPr>
        <w:t xml:space="preserve">, </w:t>
      </w:r>
      <w:r>
        <w:rPr>
          <w:rFonts w:cstheme="minorHAnsi"/>
          <w:b/>
          <w:bCs/>
        </w:rPr>
        <w:t>C</w:t>
      </w:r>
      <w:r>
        <w:rPr>
          <w:rFonts w:cstheme="minorHAnsi"/>
          <w:b/>
          <w:bCs/>
        </w:rPr>
        <w:t>O</w:t>
      </w:r>
      <w:r>
        <w:rPr>
          <w:rFonts w:cstheme="minorHAnsi"/>
          <w:b/>
          <w:bCs/>
        </w:rPr>
        <w:t>, April 21, 2020</w:t>
      </w:r>
      <w:r w:rsidRPr="005D0FA2">
        <w:rPr>
          <w:rFonts w:cstheme="minorHAnsi"/>
          <w:b/>
          <w:bCs/>
        </w:rPr>
        <w:t xml:space="preserve"> – </w:t>
      </w:r>
      <w:proofErr w:type="spellStart"/>
      <w:r w:rsidRPr="005D0FA2">
        <w:rPr>
          <w:rFonts w:cstheme="minorHAnsi"/>
        </w:rPr>
        <w:t>GroAdvisor</w:t>
      </w:r>
      <w:proofErr w:type="spellEnd"/>
      <w:r w:rsidRPr="005D0FA2">
        <w:rPr>
          <w:rFonts w:cstheme="minorHAnsi"/>
        </w:rPr>
        <w:t xml:space="preserve"> </w:t>
      </w:r>
      <w:r>
        <w:rPr>
          <w:rFonts w:cstheme="minorHAnsi"/>
        </w:rPr>
        <w:t>(</w:t>
      </w:r>
      <w:hyperlink r:id="rId7" w:history="1">
        <w:r w:rsidRPr="003B00D5">
          <w:rPr>
            <w:rStyle w:val="Hyperlink"/>
            <w:rFonts w:cstheme="minorHAnsi"/>
          </w:rPr>
          <w:t>groadvisorworldwide.com</w:t>
        </w:r>
      </w:hyperlink>
      <w:r>
        <w:rPr>
          <w:rFonts w:cstheme="minorHAnsi"/>
        </w:rPr>
        <w:t xml:space="preserve">) </w:t>
      </w:r>
      <w:r w:rsidRPr="005D0FA2">
        <w:rPr>
          <w:rFonts w:cstheme="minorHAnsi"/>
        </w:rPr>
        <w:t>is the cultivation industry’s premier partnership of product and service providers. Together, these partners can provide fully optimized cultivation methods that have been proven to create a quality crop quickly and efficiently; or, work with your existing cultivation team to optimize their system BEFORE encountering the “growing pains” that are common in this industry.</w:t>
      </w:r>
    </w:p>
    <w:p w14:paraId="444A8F7B" w14:textId="77777777" w:rsidR="00C7143A" w:rsidRPr="006327A5" w:rsidRDefault="00C7143A" w:rsidP="00C7143A">
      <w:bookmarkStart w:id="0" w:name="_Hlk37770222"/>
      <w:r>
        <w:t xml:space="preserve"> “</w:t>
      </w:r>
      <w:proofErr w:type="spellStart"/>
      <w:r>
        <w:t>GroAdvisor</w:t>
      </w:r>
      <w:proofErr w:type="spellEnd"/>
      <w:r>
        <w:t xml:space="preserve"> brings together a group of industry leaders that have years of experience in controlled environment agriculture (CEA),” said Tony McDonald, President and CEO, </w:t>
      </w:r>
      <w:proofErr w:type="spellStart"/>
      <w:r>
        <w:t>Surna</w:t>
      </w:r>
      <w:proofErr w:type="spellEnd"/>
      <w:r>
        <w:t xml:space="preserve"> Inc. “Each of the companies provide services and equipment that allow a cultivator to get to production quickly and resourcefully. </w:t>
      </w:r>
      <w:proofErr w:type="spellStart"/>
      <w:r>
        <w:t>Surna</w:t>
      </w:r>
      <w:proofErr w:type="spellEnd"/>
      <w:r>
        <w:t xml:space="preserve"> is proud to partner with this amazing group of industry providers.”</w:t>
      </w:r>
    </w:p>
    <w:bookmarkEnd w:id="0"/>
    <w:p w14:paraId="7B6F4124" w14:textId="77777777" w:rsidR="00C7143A" w:rsidRDefault="00C7143A" w:rsidP="00C7143A">
      <w:pPr>
        <w:rPr>
          <w:rFonts w:cstheme="minorHAnsi"/>
        </w:rPr>
      </w:pPr>
      <w:proofErr w:type="spellStart"/>
      <w:r w:rsidRPr="005D0FA2">
        <w:rPr>
          <w:rFonts w:cstheme="minorHAnsi"/>
        </w:rPr>
        <w:t>GroAdvisor’s</w:t>
      </w:r>
      <w:proofErr w:type="spellEnd"/>
      <w:r w:rsidRPr="005D0FA2">
        <w:rPr>
          <w:rFonts w:cstheme="minorHAnsi"/>
        </w:rPr>
        <w:t xml:space="preserve"> partners are leaders in meeting the needs of commercial cultivators. Since 2004,</w:t>
      </w:r>
      <w:r>
        <w:rPr>
          <w:rFonts w:cstheme="minorHAnsi"/>
        </w:rPr>
        <w:t xml:space="preserve"> in aggregate,</w:t>
      </w:r>
      <w:r w:rsidRPr="005D0FA2">
        <w:rPr>
          <w:rFonts w:cstheme="minorHAnsi"/>
        </w:rPr>
        <w:t xml:space="preserve"> they have been involved with more than 1000 cannabis facilities. These partners include:</w:t>
      </w:r>
    </w:p>
    <w:p w14:paraId="7622EBA6" w14:textId="77777777" w:rsidR="00C7143A" w:rsidRDefault="00C7143A" w:rsidP="00C7143A">
      <w:pPr>
        <w:spacing w:line="254" w:lineRule="auto"/>
      </w:pPr>
      <w:bookmarkStart w:id="1" w:name="_Hlk37849998"/>
      <w:proofErr w:type="spellStart"/>
      <w:r>
        <w:rPr>
          <w:b/>
          <w:bCs/>
        </w:rPr>
        <w:t>Agrowtek</w:t>
      </w:r>
      <w:proofErr w:type="spellEnd"/>
      <w:r>
        <w:rPr>
          <w:b/>
          <w:bCs/>
        </w:rPr>
        <w:t xml:space="preserve"> Inc. </w:t>
      </w:r>
      <w:r>
        <w:t xml:space="preserve">offers a comprehensive line of products that includes fertigation control systems, relays and motor controllers for equipment control, and peristaltic dosing pumps for automated nutrient and pH dosing. With over 10 years in the grow industry, </w:t>
      </w:r>
      <w:proofErr w:type="spellStart"/>
      <w:r>
        <w:t>Agrowtek</w:t>
      </w:r>
      <w:proofErr w:type="spellEnd"/>
      <w:r>
        <w:t xml:space="preserve"> continues to innovate and provide powerful and flexible fertigation and pump capabilities.</w:t>
      </w:r>
    </w:p>
    <w:bookmarkEnd w:id="1"/>
    <w:p w14:paraId="34B73CF6" w14:textId="77777777" w:rsidR="00C7143A" w:rsidRDefault="00C7143A" w:rsidP="00C7143A">
      <w:pPr>
        <w:spacing w:line="254" w:lineRule="auto"/>
      </w:pPr>
      <w:proofErr w:type="spellStart"/>
      <w:r>
        <w:rPr>
          <w:b/>
          <w:bCs/>
        </w:rPr>
        <w:t>CleanLeaf</w:t>
      </w:r>
      <w:proofErr w:type="spellEnd"/>
      <w:r>
        <w:t xml:space="preserve"> is a division of Air Cleaning Specialists. Their filtration systems are designed to provide grow rooms, greenhouses and other growing facilities with the highest standard of air filtration possible. Their team has more than 30 years of experience in the air cleaning industry and they are driven to continually improve air quality across a diverse mix of industries. </w:t>
      </w:r>
      <w:proofErr w:type="spellStart"/>
      <w:r>
        <w:t>CleanLeaf</w:t>
      </w:r>
      <w:proofErr w:type="spellEnd"/>
      <w:r>
        <w:t xml:space="preserve"> has customized fume, dust, smoke, and odor extraction systems since 1979. They’re experts in developing efficient air patterns to control, capture, prevent, and clean.</w:t>
      </w:r>
    </w:p>
    <w:p w14:paraId="74AA745E" w14:textId="77777777" w:rsidR="00C7143A" w:rsidRPr="006759F7" w:rsidRDefault="00C7143A" w:rsidP="00C7143A">
      <w:pPr>
        <w:spacing w:line="254" w:lineRule="auto"/>
      </w:pPr>
      <w:r>
        <w:rPr>
          <w:b/>
          <w:bCs/>
        </w:rPr>
        <w:t>Innovative Growers Equipment, Inc. </w:t>
      </w:r>
      <w:r>
        <w:t>specializes in building and designing grow facilities all over the world. That includes custom Ebb and Flow greenhouse benches, matching expanded metal benches, archival racks for vertical cultivation applications, custom equipment and other complimentary equipment to growers of quality plants throughout the world.</w:t>
      </w:r>
    </w:p>
    <w:p w14:paraId="4A3F3388" w14:textId="77777777" w:rsidR="00C7143A" w:rsidRDefault="00C7143A" w:rsidP="00C7143A">
      <w:r w:rsidRPr="00D77FB5">
        <w:rPr>
          <w:rFonts w:cstheme="minorHAnsi"/>
          <w:b/>
          <w:bCs/>
        </w:rPr>
        <w:t>Porta-King</w:t>
      </w:r>
      <w:r>
        <w:rPr>
          <w:rFonts w:cstheme="minorHAnsi"/>
          <w:b/>
          <w:bCs/>
        </w:rPr>
        <w:t xml:space="preserve"> Building Systems </w:t>
      </w:r>
      <w:r w:rsidRPr="00D77FB5">
        <w:rPr>
          <w:rFonts w:cstheme="minorHAnsi"/>
        </w:rPr>
        <w:t>is an industry leader in prefabricated construction since 1969 with 150,000 square feet of U.S. manufacturing and 10 U.S. regional offices.</w:t>
      </w:r>
      <w:r>
        <w:rPr>
          <w:rFonts w:cstheme="minorHAnsi"/>
        </w:rPr>
        <w:t xml:space="preserve"> </w:t>
      </w:r>
      <w:r>
        <w:t>Traditional construction methods are costly and time-consuming.  Their modular construction provides a better solution.</w:t>
      </w:r>
    </w:p>
    <w:p w14:paraId="75A8CC22" w14:textId="77777777" w:rsidR="00C7143A" w:rsidRPr="00D77FB5" w:rsidRDefault="00C7143A" w:rsidP="00C7143A">
      <w:r>
        <w:t xml:space="preserve">The speed in which construction can be completed ensures time to production is typically 50% faster than conventional methods of construction. </w:t>
      </w:r>
      <w:r w:rsidRPr="00D77FB5">
        <w:t>Other Porta-King prefabricated construction solutions for the Cannabis industry include:</w:t>
      </w:r>
    </w:p>
    <w:p w14:paraId="67AC2B7C" w14:textId="77777777" w:rsidR="00C7143A" w:rsidRDefault="00C7143A" w:rsidP="00C7143A">
      <w:pPr>
        <w:pStyle w:val="ListParagraph"/>
        <w:numPr>
          <w:ilvl w:val="0"/>
          <w:numId w:val="1"/>
        </w:numPr>
        <w:spacing w:after="0" w:line="240" w:lineRule="auto"/>
      </w:pPr>
      <w:r>
        <w:t>Fully assembled guard buildings for main entrance and perimeter security.</w:t>
      </w:r>
    </w:p>
    <w:p w14:paraId="530D2D0E" w14:textId="77777777" w:rsidR="00C7143A" w:rsidRDefault="00C7143A" w:rsidP="00C7143A">
      <w:pPr>
        <w:pStyle w:val="ListParagraph"/>
        <w:numPr>
          <w:ilvl w:val="0"/>
          <w:numId w:val="1"/>
        </w:numPr>
        <w:spacing w:after="0" w:line="240" w:lineRule="auto"/>
      </w:pPr>
      <w:r>
        <w:t>Vestibules and mantraps to create secured entry points for new and existing facilities doors.</w:t>
      </w:r>
    </w:p>
    <w:p w14:paraId="2C1E1D9F" w14:textId="4015361A" w:rsidR="00C7143A" w:rsidRDefault="00C7143A" w:rsidP="00C7143A">
      <w:pPr>
        <w:pStyle w:val="ListParagraph"/>
        <w:numPr>
          <w:ilvl w:val="0"/>
          <w:numId w:val="1"/>
        </w:numPr>
        <w:spacing w:after="0" w:line="240" w:lineRule="auto"/>
      </w:pPr>
      <w:r>
        <w:t>Structural steel platforms and towers to improve POV for security personnel at outdoor grow operations.</w:t>
      </w:r>
    </w:p>
    <w:p w14:paraId="69D0F386" w14:textId="690CB678" w:rsidR="00C7143A" w:rsidRPr="00C7143A" w:rsidRDefault="00C7143A" w:rsidP="00C7143A">
      <w:pPr>
        <w:rPr>
          <w:rFonts w:cstheme="minorHAnsi"/>
        </w:rPr>
      </w:pPr>
      <w:r w:rsidRPr="00B16391">
        <w:rPr>
          <w:rFonts w:cstheme="minorHAnsi"/>
          <w:b/>
          <w:bCs/>
        </w:rPr>
        <w:lastRenderedPageBreak/>
        <w:t>Sprung Structure</w:t>
      </w:r>
      <w:r>
        <w:rPr>
          <w:rFonts w:cstheme="minorHAnsi"/>
          <w:b/>
          <w:bCs/>
        </w:rPr>
        <w:t xml:space="preserve">s </w:t>
      </w:r>
      <w:r w:rsidRPr="00B16391">
        <w:rPr>
          <w:rFonts w:cstheme="minorHAnsi"/>
        </w:rPr>
        <w:t xml:space="preserve">provides </w:t>
      </w:r>
      <w:r>
        <w:rPr>
          <w:rFonts w:cstheme="minorHAnsi"/>
        </w:rPr>
        <w:t>the ideal growing environment enabling customers to control light, ventilation, temperature, humidity and water within an air-tight and thermally insulated building envelope.</w:t>
      </w:r>
    </w:p>
    <w:p w14:paraId="101B3D3D" w14:textId="77777777" w:rsidR="00C7143A" w:rsidRPr="007B5AA9" w:rsidRDefault="00C7143A" w:rsidP="00C7143A">
      <w:pPr>
        <w:rPr>
          <w:rFonts w:cstheme="minorHAnsi"/>
          <w:color w:val="333333"/>
          <w:sz w:val="21"/>
          <w:szCs w:val="21"/>
          <w:shd w:val="clear" w:color="auto" w:fill="FFFFFF"/>
        </w:rPr>
      </w:pPr>
      <w:proofErr w:type="spellStart"/>
      <w:r w:rsidRPr="005D0FA2">
        <w:rPr>
          <w:rFonts w:cstheme="minorHAnsi"/>
          <w:b/>
          <w:bCs/>
          <w:color w:val="333333"/>
          <w:sz w:val="21"/>
          <w:szCs w:val="21"/>
          <w:shd w:val="clear" w:color="auto" w:fill="FFFFFF"/>
        </w:rPr>
        <w:t>Surna</w:t>
      </w:r>
      <w:proofErr w:type="spellEnd"/>
      <w:r w:rsidRPr="005D0FA2">
        <w:rPr>
          <w:rFonts w:cstheme="minorHAnsi"/>
          <w:b/>
          <w:bCs/>
          <w:color w:val="333333"/>
          <w:sz w:val="21"/>
          <w:szCs w:val="21"/>
          <w:shd w:val="clear" w:color="auto" w:fill="FFFFFF"/>
        </w:rPr>
        <w:t xml:space="preserve"> Inc</w:t>
      </w:r>
      <w:r w:rsidRPr="005D0FA2">
        <w:rPr>
          <w:rFonts w:cstheme="minorHAnsi"/>
          <w:color w:val="333333"/>
          <w:sz w:val="21"/>
          <w:szCs w:val="21"/>
          <w:shd w:val="clear" w:color="auto" w:fill="FFFFFF"/>
        </w:rPr>
        <w:t xml:space="preserve">. </w:t>
      </w:r>
      <w:r>
        <w:rPr>
          <w:rFonts w:cstheme="minorHAnsi"/>
          <w:color w:val="333333"/>
          <w:sz w:val="21"/>
          <w:szCs w:val="21"/>
          <w:shd w:val="clear" w:color="auto" w:fill="FFFFFF"/>
        </w:rPr>
        <w:t xml:space="preserve">(OTCQB: SRNA) has been </w:t>
      </w:r>
      <w:r w:rsidRPr="005D0FA2">
        <w:rPr>
          <w:rFonts w:cstheme="minorHAnsi"/>
          <w:color w:val="333333"/>
          <w:sz w:val="21"/>
          <w:szCs w:val="21"/>
          <w:shd w:val="clear" w:color="auto" w:fill="FFFFFF"/>
        </w:rPr>
        <w:t>design</w:t>
      </w:r>
      <w:r>
        <w:rPr>
          <w:rFonts w:cstheme="minorHAnsi"/>
          <w:color w:val="333333"/>
          <w:sz w:val="21"/>
          <w:szCs w:val="21"/>
          <w:shd w:val="clear" w:color="auto" w:fill="FFFFFF"/>
        </w:rPr>
        <w:t>ing</w:t>
      </w:r>
      <w:r w:rsidRPr="005D0FA2">
        <w:rPr>
          <w:rFonts w:cstheme="minorHAnsi"/>
          <w:color w:val="333333"/>
          <w:sz w:val="21"/>
          <w:szCs w:val="21"/>
          <w:shd w:val="clear" w:color="auto" w:fill="FFFFFF"/>
        </w:rPr>
        <w:t>, engineer</w:t>
      </w:r>
      <w:r>
        <w:rPr>
          <w:rFonts w:cstheme="minorHAnsi"/>
          <w:color w:val="333333"/>
          <w:sz w:val="21"/>
          <w:szCs w:val="21"/>
          <w:shd w:val="clear" w:color="auto" w:fill="FFFFFF"/>
        </w:rPr>
        <w:t>ing</w:t>
      </w:r>
      <w:r w:rsidRPr="005D0FA2">
        <w:rPr>
          <w:rFonts w:cstheme="minorHAnsi"/>
          <w:color w:val="333333"/>
          <w:sz w:val="21"/>
          <w:szCs w:val="21"/>
          <w:shd w:val="clear" w:color="auto" w:fill="FFFFFF"/>
        </w:rPr>
        <w:t xml:space="preserve"> and manufactur</w:t>
      </w:r>
      <w:r>
        <w:rPr>
          <w:rFonts w:cstheme="minorHAnsi"/>
          <w:color w:val="333333"/>
          <w:sz w:val="21"/>
          <w:szCs w:val="21"/>
          <w:shd w:val="clear" w:color="auto" w:fill="FFFFFF"/>
        </w:rPr>
        <w:t>ing</w:t>
      </w:r>
      <w:r w:rsidRPr="005D0FA2">
        <w:rPr>
          <w:rFonts w:cstheme="minorHAnsi"/>
          <w:color w:val="333333"/>
          <w:sz w:val="21"/>
          <w:szCs w:val="21"/>
          <w:shd w:val="clear" w:color="auto" w:fill="FFFFFF"/>
        </w:rPr>
        <w:t xml:space="preserve"> application-specific environmental control and air sanitation systems for commercial, state- and provincial-regulated indoor cannabis cultivation facilities in the U.S. and Canada</w:t>
      </w:r>
      <w:r>
        <w:rPr>
          <w:rFonts w:cstheme="minorHAnsi"/>
          <w:color w:val="333333"/>
          <w:sz w:val="21"/>
          <w:szCs w:val="21"/>
          <w:shd w:val="clear" w:color="auto" w:fill="FFFFFF"/>
        </w:rPr>
        <w:t xml:space="preserve"> since 2006</w:t>
      </w:r>
      <w:r w:rsidRPr="005D0FA2">
        <w:rPr>
          <w:rFonts w:cstheme="minorHAnsi"/>
          <w:color w:val="333333"/>
          <w:sz w:val="21"/>
          <w:szCs w:val="21"/>
          <w:shd w:val="clear" w:color="auto" w:fill="FFFFFF"/>
        </w:rPr>
        <w:t>. Their engineering and technical team provides energy and water efficient solutions that allow growers to meet the unique demands of a cannabis cultivation environment through precise temperature, humidity, light, and process controls</w:t>
      </w:r>
      <w:r>
        <w:rPr>
          <w:rFonts w:cstheme="minorHAnsi"/>
          <w:color w:val="333333"/>
          <w:sz w:val="21"/>
          <w:szCs w:val="21"/>
          <w:shd w:val="clear" w:color="auto" w:fill="FFFFFF"/>
        </w:rPr>
        <w:t xml:space="preserve">. </w:t>
      </w:r>
      <w:proofErr w:type="spellStart"/>
      <w:r>
        <w:rPr>
          <w:rFonts w:cstheme="minorHAnsi"/>
          <w:color w:val="333333"/>
          <w:sz w:val="21"/>
          <w:szCs w:val="21"/>
          <w:shd w:val="clear" w:color="auto" w:fill="FFFFFF"/>
        </w:rPr>
        <w:t>Surna</w:t>
      </w:r>
      <w:proofErr w:type="spellEnd"/>
      <w:r>
        <w:rPr>
          <w:rFonts w:cstheme="minorHAnsi"/>
          <w:color w:val="333333"/>
          <w:sz w:val="21"/>
          <w:szCs w:val="21"/>
          <w:shd w:val="clear" w:color="auto" w:fill="FFFFFF"/>
        </w:rPr>
        <w:t xml:space="preserve"> also provides a climate control platform, </w:t>
      </w:r>
      <w:proofErr w:type="spellStart"/>
      <w:r>
        <w:rPr>
          <w:rFonts w:cstheme="minorHAnsi"/>
          <w:color w:val="333333"/>
          <w:sz w:val="21"/>
          <w:szCs w:val="21"/>
          <w:shd w:val="clear" w:color="auto" w:fill="FFFFFF"/>
        </w:rPr>
        <w:t>SentryIQ</w:t>
      </w:r>
      <w:proofErr w:type="spellEnd"/>
      <w:r>
        <w:rPr>
          <w:rFonts w:cstheme="minorHAnsi"/>
          <w:color w:val="333333"/>
          <w:sz w:val="21"/>
          <w:szCs w:val="21"/>
          <w:shd w:val="clear" w:color="auto" w:fill="FFFFFF"/>
        </w:rPr>
        <w:t xml:space="preserve">™, featuring proprietary controls sequences developed with predictive algorithms essential to optimum climate control.  </w:t>
      </w:r>
      <w:r w:rsidRPr="007B5AA9">
        <w:rPr>
          <w:rFonts w:cstheme="minorHAnsi"/>
          <w:color w:val="333333"/>
          <w:sz w:val="21"/>
          <w:szCs w:val="21"/>
          <w:shd w:val="clear" w:color="auto" w:fill="FFFFFF"/>
        </w:rPr>
        <w:t xml:space="preserve">With every </w:t>
      </w:r>
      <w:proofErr w:type="spellStart"/>
      <w:r w:rsidRPr="007B5AA9">
        <w:rPr>
          <w:rFonts w:cstheme="minorHAnsi"/>
          <w:color w:val="333333"/>
          <w:sz w:val="21"/>
          <w:szCs w:val="21"/>
          <w:shd w:val="clear" w:color="auto" w:fill="FFFFFF"/>
        </w:rPr>
        <w:t>Surna</w:t>
      </w:r>
      <w:proofErr w:type="spellEnd"/>
      <w:r w:rsidRPr="007B5AA9">
        <w:rPr>
          <w:rFonts w:cstheme="minorHAnsi"/>
          <w:color w:val="333333"/>
          <w:sz w:val="21"/>
          <w:szCs w:val="21"/>
          <w:shd w:val="clear" w:color="auto" w:fill="FFFFFF"/>
        </w:rPr>
        <w:t xml:space="preserve"> system, </w:t>
      </w:r>
      <w:r>
        <w:rPr>
          <w:rFonts w:cstheme="minorHAnsi"/>
          <w:color w:val="333333"/>
          <w:sz w:val="21"/>
          <w:szCs w:val="21"/>
          <w:shd w:val="clear" w:color="auto" w:fill="FFFFFF"/>
        </w:rPr>
        <w:t>they</w:t>
      </w:r>
      <w:r w:rsidRPr="007B5AA9">
        <w:rPr>
          <w:rFonts w:cstheme="minorHAnsi"/>
          <w:color w:val="333333"/>
          <w:sz w:val="21"/>
          <w:szCs w:val="21"/>
          <w:shd w:val="clear" w:color="auto" w:fill="FFFFFF"/>
        </w:rPr>
        <w:t xml:space="preserve"> offer a full range of MEP design services, making </w:t>
      </w:r>
      <w:r>
        <w:rPr>
          <w:rFonts w:cstheme="minorHAnsi"/>
          <w:color w:val="333333"/>
          <w:sz w:val="21"/>
          <w:szCs w:val="21"/>
          <w:shd w:val="clear" w:color="auto" w:fill="FFFFFF"/>
        </w:rPr>
        <w:t>them</w:t>
      </w:r>
      <w:r w:rsidRPr="007B5AA9">
        <w:rPr>
          <w:rFonts w:cstheme="minorHAnsi"/>
          <w:color w:val="333333"/>
          <w:sz w:val="21"/>
          <w:szCs w:val="21"/>
          <w:shd w:val="clear" w:color="auto" w:fill="FFFFFF"/>
        </w:rPr>
        <w:t xml:space="preserve"> a one-stop-shop for those designing </w:t>
      </w:r>
      <w:r>
        <w:rPr>
          <w:rFonts w:cstheme="minorHAnsi"/>
          <w:color w:val="333333"/>
          <w:sz w:val="21"/>
          <w:szCs w:val="21"/>
          <w:shd w:val="clear" w:color="auto" w:fill="FFFFFF"/>
        </w:rPr>
        <w:t xml:space="preserve">or expanding </w:t>
      </w:r>
      <w:r w:rsidRPr="007B5AA9">
        <w:rPr>
          <w:rFonts w:cstheme="minorHAnsi"/>
          <w:color w:val="333333"/>
          <w:sz w:val="21"/>
          <w:szCs w:val="21"/>
          <w:shd w:val="clear" w:color="auto" w:fill="FFFFFF"/>
        </w:rPr>
        <w:t>cultivation facilities. These indoor mechanical design services include consulting, engineering, biosecurity protocol setup, odor control planning and installation support.</w:t>
      </w:r>
      <w:r>
        <w:rPr>
          <w:rFonts w:cstheme="minorHAnsi"/>
          <w:color w:val="333333"/>
          <w:sz w:val="21"/>
          <w:szCs w:val="21"/>
          <w:shd w:val="clear" w:color="auto" w:fill="FFFFFF"/>
        </w:rPr>
        <w:t xml:space="preserve"> </w:t>
      </w:r>
    </w:p>
    <w:p w14:paraId="000913AC" w14:textId="77777777" w:rsidR="00C7143A" w:rsidRPr="005D0FA2" w:rsidRDefault="00C7143A" w:rsidP="00C7143A">
      <w:pPr>
        <w:rPr>
          <w:rFonts w:cstheme="minorHAnsi"/>
        </w:rPr>
      </w:pPr>
      <w:proofErr w:type="spellStart"/>
      <w:r w:rsidRPr="005D0FA2">
        <w:rPr>
          <w:rFonts w:cstheme="minorHAnsi"/>
          <w:b/>
          <w:bCs/>
        </w:rPr>
        <w:t>VividGro</w:t>
      </w:r>
      <w:proofErr w:type="spellEnd"/>
      <w:r w:rsidRPr="005D0FA2">
        <w:rPr>
          <w:rFonts w:cstheme="minorHAnsi"/>
          <w:b/>
          <w:bCs/>
        </w:rPr>
        <w:t>®</w:t>
      </w:r>
      <w:r>
        <w:rPr>
          <w:rFonts w:cstheme="minorHAnsi"/>
          <w:b/>
          <w:bCs/>
        </w:rPr>
        <w:t xml:space="preserve"> </w:t>
      </w:r>
      <w:r w:rsidRPr="005D0FA2">
        <w:rPr>
          <w:rFonts w:cstheme="minorHAnsi"/>
        </w:rPr>
        <w:t xml:space="preserve">offers a complete suite of controllable horticultural lighting solutions to address our customers’ needs. Over the past 5 years, </w:t>
      </w:r>
      <w:proofErr w:type="spellStart"/>
      <w:r w:rsidRPr="005D0FA2">
        <w:rPr>
          <w:rFonts w:cstheme="minorHAnsi"/>
        </w:rPr>
        <w:t>VividGro</w:t>
      </w:r>
      <w:proofErr w:type="spellEnd"/>
      <w:r w:rsidRPr="005D0FA2">
        <w:rPr>
          <w:rFonts w:cstheme="minorHAnsi"/>
        </w:rPr>
        <w:t xml:space="preserve"> has sold controlled environment agricultural lighting covering in excess of 1 million square feet of plant canopy. From propagation to harvest, </w:t>
      </w:r>
      <w:proofErr w:type="spellStart"/>
      <w:r w:rsidRPr="005D0FA2">
        <w:rPr>
          <w:rFonts w:cstheme="minorHAnsi"/>
        </w:rPr>
        <w:t>VividGro</w:t>
      </w:r>
      <w:proofErr w:type="spellEnd"/>
      <w:r w:rsidRPr="005D0FA2">
        <w:rPr>
          <w:rFonts w:cstheme="minorHAnsi"/>
        </w:rPr>
        <w:t xml:space="preserve"> can provide the right spectra any grower requires.</w:t>
      </w:r>
    </w:p>
    <w:p w14:paraId="77445E09" w14:textId="77777777" w:rsidR="00C7143A" w:rsidRDefault="00C7143A" w:rsidP="00C7143A">
      <w:pPr>
        <w:rPr>
          <w:rFonts w:cstheme="minorHAnsi"/>
        </w:rPr>
      </w:pPr>
      <w:r w:rsidRPr="005D0FA2">
        <w:rPr>
          <w:rFonts w:cstheme="minorHAnsi"/>
        </w:rPr>
        <w:t xml:space="preserve">Proper planning with the </w:t>
      </w:r>
      <w:proofErr w:type="spellStart"/>
      <w:r w:rsidRPr="005D0FA2">
        <w:rPr>
          <w:rFonts w:cstheme="minorHAnsi"/>
        </w:rPr>
        <w:t>GroAdvisor</w:t>
      </w:r>
      <w:proofErr w:type="spellEnd"/>
      <w:r w:rsidRPr="005D0FA2">
        <w:rPr>
          <w:rFonts w:cstheme="minorHAnsi"/>
        </w:rPr>
        <w:t xml:space="preserve"> team of experts can </w:t>
      </w:r>
      <w:r>
        <w:rPr>
          <w:rFonts w:cstheme="minorHAnsi"/>
        </w:rPr>
        <w:t>prevent</w:t>
      </w:r>
      <w:r w:rsidRPr="005D0FA2">
        <w:rPr>
          <w:rFonts w:cstheme="minorHAnsi"/>
        </w:rPr>
        <w:t xml:space="preserve"> costly failures before they happen.</w:t>
      </w:r>
    </w:p>
    <w:p w14:paraId="14D87416" w14:textId="77777777" w:rsidR="00C7143A" w:rsidRDefault="00C7143A" w:rsidP="00C7143A">
      <w:pPr>
        <w:jc w:val="center"/>
        <w:rPr>
          <w:rFonts w:cstheme="minorHAnsi"/>
        </w:rPr>
      </w:pPr>
      <w:r>
        <w:rPr>
          <w:rFonts w:cstheme="minorHAnsi"/>
        </w:rPr>
        <w:t>###</w:t>
      </w:r>
    </w:p>
    <w:p w14:paraId="4EEA37FF" w14:textId="77777777" w:rsidR="00C7143A" w:rsidRPr="000F356F" w:rsidRDefault="00C7143A" w:rsidP="00C7143A">
      <w:pPr>
        <w:spacing w:after="0" w:line="240" w:lineRule="auto"/>
        <w:rPr>
          <w:rFonts w:eastAsia="Helvetica" w:cstheme="minorHAnsi"/>
          <w:bdr w:val="none" w:sz="0" w:space="0" w:color="auto" w:frame="1"/>
        </w:rPr>
      </w:pPr>
      <w:r w:rsidRPr="000F356F">
        <w:rPr>
          <w:rFonts w:eastAsia="Helvetica" w:cstheme="minorHAnsi"/>
          <w:b/>
          <w:bdr w:val="none" w:sz="0" w:space="0" w:color="auto" w:frame="1"/>
        </w:rPr>
        <w:t>Contact</w:t>
      </w:r>
      <w:r w:rsidRPr="000F356F">
        <w:rPr>
          <w:rFonts w:eastAsia="Helvetica" w:cstheme="minorHAnsi"/>
          <w:bdr w:val="none" w:sz="0" w:space="0" w:color="auto" w:frame="1"/>
        </w:rPr>
        <w:t xml:space="preserve">: </w:t>
      </w:r>
    </w:p>
    <w:p w14:paraId="0A7320D5" w14:textId="77777777" w:rsidR="00C7143A" w:rsidRPr="000F356F" w:rsidRDefault="00C7143A" w:rsidP="00C7143A">
      <w:pPr>
        <w:spacing w:after="0" w:line="240" w:lineRule="auto"/>
        <w:rPr>
          <w:rFonts w:eastAsia="Helvetica" w:cstheme="minorHAnsi"/>
          <w:bdr w:val="none" w:sz="0" w:space="0" w:color="auto" w:frame="1"/>
        </w:rPr>
      </w:pPr>
      <w:r w:rsidRPr="000F356F">
        <w:rPr>
          <w:rFonts w:eastAsia="Helvetica" w:cstheme="minorHAnsi"/>
          <w:bdr w:val="none" w:sz="0" w:space="0" w:color="auto" w:frame="1"/>
        </w:rPr>
        <w:t>Jamie English</w:t>
      </w:r>
    </w:p>
    <w:p w14:paraId="7DBF5421" w14:textId="77777777" w:rsidR="00C7143A" w:rsidRPr="000F356F" w:rsidRDefault="00C7143A" w:rsidP="00C7143A">
      <w:pPr>
        <w:spacing w:after="0" w:line="240" w:lineRule="auto"/>
        <w:rPr>
          <w:rFonts w:eastAsia="Helvetica" w:cstheme="minorHAnsi"/>
          <w:bdr w:val="none" w:sz="0" w:space="0" w:color="auto" w:frame="1"/>
        </w:rPr>
      </w:pPr>
      <w:r>
        <w:rPr>
          <w:rFonts w:eastAsia="Helvetica" w:cstheme="minorHAnsi"/>
          <w:bdr w:val="none" w:sz="0" w:space="0" w:color="auto" w:frame="1"/>
        </w:rPr>
        <w:t xml:space="preserve">Managing </w:t>
      </w:r>
      <w:r w:rsidRPr="000F356F">
        <w:rPr>
          <w:rFonts w:eastAsia="Helvetica" w:cstheme="minorHAnsi"/>
          <w:bdr w:val="none" w:sz="0" w:space="0" w:color="auto" w:frame="1"/>
        </w:rPr>
        <w:t>Director of Marketing</w:t>
      </w:r>
    </w:p>
    <w:p w14:paraId="300B8481" w14:textId="77777777" w:rsidR="00C7143A" w:rsidRPr="000F356F" w:rsidRDefault="00C7143A" w:rsidP="00C7143A">
      <w:pPr>
        <w:spacing w:after="0" w:line="240" w:lineRule="auto"/>
        <w:rPr>
          <w:rFonts w:eastAsia="Helvetica" w:cstheme="minorHAnsi"/>
          <w:bdr w:val="none" w:sz="0" w:space="0" w:color="auto" w:frame="1"/>
        </w:rPr>
      </w:pPr>
      <w:r w:rsidRPr="000F356F">
        <w:rPr>
          <w:rFonts w:eastAsia="Helvetica" w:cstheme="minorHAnsi"/>
          <w:bdr w:val="none" w:sz="0" w:space="0" w:color="auto" w:frame="1"/>
        </w:rPr>
        <w:t>jamie.english@surna.com</w:t>
      </w:r>
    </w:p>
    <w:p w14:paraId="44E70EEC" w14:textId="77777777" w:rsidR="00C7143A" w:rsidRPr="000F356F" w:rsidRDefault="00C7143A" w:rsidP="00C7143A">
      <w:pPr>
        <w:spacing w:after="0" w:line="240" w:lineRule="auto"/>
        <w:rPr>
          <w:rFonts w:cstheme="minorHAnsi"/>
        </w:rPr>
      </w:pPr>
      <w:hyperlink r:id="rId8" w:tgtFrame="_blank" w:history="1">
        <w:r w:rsidRPr="000F356F">
          <w:rPr>
            <w:rStyle w:val="Hyperlink"/>
            <w:rFonts w:eastAsia="Helvetica" w:cstheme="minorHAnsi"/>
            <w:color w:val="auto"/>
            <w:u w:val="none" w:color="000000"/>
            <w:bdr w:val="none" w:sz="0" w:space="0" w:color="auto" w:frame="1"/>
          </w:rPr>
          <w:t>303.993.5271</w:t>
        </w:r>
      </w:hyperlink>
    </w:p>
    <w:p w14:paraId="1C073961" w14:textId="2A5D377E" w:rsidR="000F356F" w:rsidRPr="000F356F" w:rsidRDefault="000F356F" w:rsidP="00C7143A">
      <w:pPr>
        <w:rPr>
          <w:rFonts w:cstheme="minorHAnsi"/>
        </w:rPr>
      </w:pPr>
    </w:p>
    <w:sectPr w:rsidR="000F356F" w:rsidRPr="000F356F" w:rsidSect="00D8719D">
      <w:headerReference w:type="default" r:id="rId9"/>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C1488" w14:textId="77777777" w:rsidR="00C72E02" w:rsidRDefault="00C72E02" w:rsidP="00AE6157">
      <w:pPr>
        <w:spacing w:after="0" w:line="240" w:lineRule="auto"/>
      </w:pPr>
      <w:r>
        <w:separator/>
      </w:r>
    </w:p>
  </w:endnote>
  <w:endnote w:type="continuationSeparator" w:id="0">
    <w:p w14:paraId="6F3B5E50" w14:textId="77777777" w:rsidR="00C72E02" w:rsidRDefault="00C72E02" w:rsidP="00AE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DD0D4" w14:textId="77777777" w:rsidR="00C72E02" w:rsidRDefault="00C72E02" w:rsidP="00AE6157">
      <w:pPr>
        <w:spacing w:after="0" w:line="240" w:lineRule="auto"/>
      </w:pPr>
      <w:r>
        <w:separator/>
      </w:r>
    </w:p>
  </w:footnote>
  <w:footnote w:type="continuationSeparator" w:id="0">
    <w:p w14:paraId="64780965" w14:textId="77777777" w:rsidR="00C72E02" w:rsidRDefault="00C72E02" w:rsidP="00AE61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6155C" w14:textId="325E0C11" w:rsidR="00AE6157" w:rsidRDefault="00AE6157">
    <w:pPr>
      <w:pStyle w:val="Header"/>
    </w:pPr>
    <w:r>
      <w:rPr>
        <w:noProof/>
      </w:rPr>
      <w:drawing>
        <wp:anchor distT="0" distB="0" distL="114300" distR="114300" simplePos="0" relativeHeight="251658240" behindDoc="0" locked="0" layoutInCell="1" allowOverlap="1" wp14:anchorId="35A619DC" wp14:editId="778E3B53">
          <wp:simplePos x="0" y="0"/>
          <wp:positionH relativeFrom="page">
            <wp:posOffset>4218305</wp:posOffset>
          </wp:positionH>
          <wp:positionV relativeFrom="paragraph">
            <wp:posOffset>-28575</wp:posOffset>
          </wp:positionV>
          <wp:extent cx="2916555" cy="781050"/>
          <wp:effectExtent l="0" t="0" r="0" b="0"/>
          <wp:wrapTopAndBottom/>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2916555"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3859"/>
    <w:multiLevelType w:val="hybridMultilevel"/>
    <w:tmpl w:val="C714C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CB9"/>
    <w:rsid w:val="00014E9B"/>
    <w:rsid w:val="00042BCC"/>
    <w:rsid w:val="000F356F"/>
    <w:rsid w:val="00183D6F"/>
    <w:rsid w:val="002F0212"/>
    <w:rsid w:val="00354CCC"/>
    <w:rsid w:val="003B00D5"/>
    <w:rsid w:val="0046251D"/>
    <w:rsid w:val="00494D1A"/>
    <w:rsid w:val="004A1596"/>
    <w:rsid w:val="005B605E"/>
    <w:rsid w:val="005D0FA2"/>
    <w:rsid w:val="006327A5"/>
    <w:rsid w:val="006759F7"/>
    <w:rsid w:val="006A4073"/>
    <w:rsid w:val="009853A7"/>
    <w:rsid w:val="00AA7DC9"/>
    <w:rsid w:val="00AE6157"/>
    <w:rsid w:val="00B16391"/>
    <w:rsid w:val="00C00D77"/>
    <w:rsid w:val="00C20CB9"/>
    <w:rsid w:val="00C20DC0"/>
    <w:rsid w:val="00C7143A"/>
    <w:rsid w:val="00C72E02"/>
    <w:rsid w:val="00D4036A"/>
    <w:rsid w:val="00D77FB5"/>
    <w:rsid w:val="00D8719D"/>
    <w:rsid w:val="00E53019"/>
    <w:rsid w:val="00F14D78"/>
    <w:rsid w:val="00F46F22"/>
    <w:rsid w:val="00FE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587FB"/>
  <w15:chartTrackingRefBased/>
  <w15:docId w15:val="{421C66C0-844E-4C20-B065-A5084BD0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3D6F"/>
    <w:rPr>
      <w:color w:val="0563C1" w:themeColor="hyperlink"/>
      <w:u w:val="single"/>
    </w:rPr>
  </w:style>
  <w:style w:type="character" w:styleId="UnresolvedMention">
    <w:name w:val="Unresolved Mention"/>
    <w:basedOn w:val="DefaultParagraphFont"/>
    <w:uiPriority w:val="99"/>
    <w:semiHidden/>
    <w:unhideWhenUsed/>
    <w:rsid w:val="00183D6F"/>
    <w:rPr>
      <w:color w:val="605E5C"/>
      <w:shd w:val="clear" w:color="auto" w:fill="E1DFDD"/>
    </w:rPr>
  </w:style>
  <w:style w:type="character" w:styleId="CommentReference">
    <w:name w:val="annotation reference"/>
    <w:basedOn w:val="DefaultParagraphFont"/>
    <w:uiPriority w:val="99"/>
    <w:semiHidden/>
    <w:unhideWhenUsed/>
    <w:rsid w:val="00183D6F"/>
    <w:rPr>
      <w:sz w:val="16"/>
      <w:szCs w:val="16"/>
    </w:rPr>
  </w:style>
  <w:style w:type="paragraph" w:styleId="CommentText">
    <w:name w:val="annotation text"/>
    <w:basedOn w:val="Normal"/>
    <w:link w:val="CommentTextChar"/>
    <w:uiPriority w:val="99"/>
    <w:semiHidden/>
    <w:unhideWhenUsed/>
    <w:rsid w:val="00183D6F"/>
    <w:pPr>
      <w:spacing w:line="240" w:lineRule="auto"/>
    </w:pPr>
    <w:rPr>
      <w:sz w:val="20"/>
      <w:szCs w:val="20"/>
    </w:rPr>
  </w:style>
  <w:style w:type="character" w:customStyle="1" w:styleId="CommentTextChar">
    <w:name w:val="Comment Text Char"/>
    <w:basedOn w:val="DefaultParagraphFont"/>
    <w:link w:val="CommentText"/>
    <w:uiPriority w:val="99"/>
    <w:semiHidden/>
    <w:rsid w:val="00183D6F"/>
    <w:rPr>
      <w:sz w:val="20"/>
      <w:szCs w:val="20"/>
    </w:rPr>
  </w:style>
  <w:style w:type="paragraph" w:styleId="CommentSubject">
    <w:name w:val="annotation subject"/>
    <w:basedOn w:val="CommentText"/>
    <w:next w:val="CommentText"/>
    <w:link w:val="CommentSubjectChar"/>
    <w:uiPriority w:val="99"/>
    <w:semiHidden/>
    <w:unhideWhenUsed/>
    <w:rsid w:val="00183D6F"/>
    <w:rPr>
      <w:b/>
      <w:bCs/>
    </w:rPr>
  </w:style>
  <w:style w:type="character" w:customStyle="1" w:styleId="CommentSubjectChar">
    <w:name w:val="Comment Subject Char"/>
    <w:basedOn w:val="CommentTextChar"/>
    <w:link w:val="CommentSubject"/>
    <w:uiPriority w:val="99"/>
    <w:semiHidden/>
    <w:rsid w:val="00183D6F"/>
    <w:rPr>
      <w:b/>
      <w:bCs/>
      <w:sz w:val="20"/>
      <w:szCs w:val="20"/>
    </w:rPr>
  </w:style>
  <w:style w:type="paragraph" w:styleId="BalloonText">
    <w:name w:val="Balloon Text"/>
    <w:basedOn w:val="Normal"/>
    <w:link w:val="BalloonTextChar"/>
    <w:uiPriority w:val="99"/>
    <w:semiHidden/>
    <w:unhideWhenUsed/>
    <w:rsid w:val="00183D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D6F"/>
    <w:rPr>
      <w:rFonts w:ascii="Segoe UI" w:hAnsi="Segoe UI" w:cs="Segoe UI"/>
      <w:sz w:val="18"/>
      <w:szCs w:val="18"/>
    </w:rPr>
  </w:style>
  <w:style w:type="paragraph" w:styleId="ListParagraph">
    <w:name w:val="List Paragraph"/>
    <w:basedOn w:val="Normal"/>
    <w:uiPriority w:val="34"/>
    <w:qFormat/>
    <w:rsid w:val="00D77FB5"/>
    <w:pPr>
      <w:ind w:left="720"/>
      <w:contextualSpacing/>
    </w:pPr>
  </w:style>
  <w:style w:type="paragraph" w:styleId="Header">
    <w:name w:val="header"/>
    <w:basedOn w:val="Normal"/>
    <w:link w:val="HeaderChar"/>
    <w:uiPriority w:val="99"/>
    <w:unhideWhenUsed/>
    <w:rsid w:val="00AE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157"/>
  </w:style>
  <w:style w:type="paragraph" w:styleId="Footer">
    <w:name w:val="footer"/>
    <w:basedOn w:val="Normal"/>
    <w:link w:val="FooterChar"/>
    <w:uiPriority w:val="99"/>
    <w:unhideWhenUsed/>
    <w:rsid w:val="00AE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566612">
      <w:bodyDiv w:val="1"/>
      <w:marLeft w:val="0"/>
      <w:marRight w:val="0"/>
      <w:marTop w:val="0"/>
      <w:marBottom w:val="0"/>
      <w:divBdr>
        <w:top w:val="none" w:sz="0" w:space="0" w:color="auto"/>
        <w:left w:val="none" w:sz="0" w:space="0" w:color="auto"/>
        <w:bottom w:val="none" w:sz="0" w:space="0" w:color="auto"/>
        <w:right w:val="none" w:sz="0" w:space="0" w:color="auto"/>
      </w:divBdr>
    </w:div>
    <w:div w:id="37246825">
      <w:bodyDiv w:val="1"/>
      <w:marLeft w:val="0"/>
      <w:marRight w:val="0"/>
      <w:marTop w:val="0"/>
      <w:marBottom w:val="0"/>
      <w:divBdr>
        <w:top w:val="none" w:sz="0" w:space="0" w:color="auto"/>
        <w:left w:val="none" w:sz="0" w:space="0" w:color="auto"/>
        <w:bottom w:val="none" w:sz="0" w:space="0" w:color="auto"/>
        <w:right w:val="none" w:sz="0" w:space="0" w:color="auto"/>
      </w:divBdr>
    </w:div>
    <w:div w:id="169803842">
      <w:bodyDiv w:val="1"/>
      <w:marLeft w:val="0"/>
      <w:marRight w:val="0"/>
      <w:marTop w:val="0"/>
      <w:marBottom w:val="0"/>
      <w:divBdr>
        <w:top w:val="none" w:sz="0" w:space="0" w:color="auto"/>
        <w:left w:val="none" w:sz="0" w:space="0" w:color="auto"/>
        <w:bottom w:val="none" w:sz="0" w:space="0" w:color="auto"/>
        <w:right w:val="none" w:sz="0" w:space="0" w:color="auto"/>
      </w:divBdr>
    </w:div>
    <w:div w:id="495806286">
      <w:bodyDiv w:val="1"/>
      <w:marLeft w:val="0"/>
      <w:marRight w:val="0"/>
      <w:marTop w:val="0"/>
      <w:marBottom w:val="0"/>
      <w:divBdr>
        <w:top w:val="none" w:sz="0" w:space="0" w:color="auto"/>
        <w:left w:val="none" w:sz="0" w:space="0" w:color="auto"/>
        <w:bottom w:val="none" w:sz="0" w:space="0" w:color="auto"/>
        <w:right w:val="none" w:sz="0" w:space="0" w:color="auto"/>
      </w:divBdr>
      <w:divsChild>
        <w:div w:id="1650017516">
          <w:marLeft w:val="0"/>
          <w:marRight w:val="0"/>
          <w:marTop w:val="0"/>
          <w:marBottom w:val="225"/>
          <w:divBdr>
            <w:top w:val="none" w:sz="0" w:space="0" w:color="auto"/>
            <w:left w:val="none" w:sz="0" w:space="0" w:color="auto"/>
            <w:bottom w:val="none" w:sz="0" w:space="0" w:color="auto"/>
            <w:right w:val="none" w:sz="0" w:space="0" w:color="auto"/>
          </w:divBdr>
          <w:divsChild>
            <w:div w:id="1018966605">
              <w:marLeft w:val="0"/>
              <w:marRight w:val="0"/>
              <w:marTop w:val="0"/>
              <w:marBottom w:val="0"/>
              <w:divBdr>
                <w:top w:val="none" w:sz="0" w:space="0" w:color="auto"/>
                <w:left w:val="none" w:sz="0" w:space="0" w:color="auto"/>
                <w:bottom w:val="none" w:sz="0" w:space="0" w:color="auto"/>
                <w:right w:val="none" w:sz="0" w:space="0" w:color="auto"/>
              </w:divBdr>
              <w:divsChild>
                <w:div w:id="754937168">
                  <w:marLeft w:val="0"/>
                  <w:marRight w:val="0"/>
                  <w:marTop w:val="0"/>
                  <w:marBottom w:val="0"/>
                  <w:divBdr>
                    <w:top w:val="none" w:sz="0" w:space="0" w:color="auto"/>
                    <w:left w:val="none" w:sz="0" w:space="0" w:color="auto"/>
                    <w:bottom w:val="none" w:sz="0" w:space="0" w:color="auto"/>
                    <w:right w:val="none" w:sz="0" w:space="0" w:color="auto"/>
                  </w:divBdr>
                </w:div>
              </w:divsChild>
            </w:div>
            <w:div w:id="12514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50802">
      <w:bodyDiv w:val="1"/>
      <w:marLeft w:val="0"/>
      <w:marRight w:val="0"/>
      <w:marTop w:val="0"/>
      <w:marBottom w:val="0"/>
      <w:divBdr>
        <w:top w:val="none" w:sz="0" w:space="0" w:color="auto"/>
        <w:left w:val="none" w:sz="0" w:space="0" w:color="auto"/>
        <w:bottom w:val="none" w:sz="0" w:space="0" w:color="auto"/>
        <w:right w:val="none" w:sz="0" w:space="0" w:color="auto"/>
      </w:divBdr>
    </w:div>
    <w:div w:id="1870337842">
      <w:bodyDiv w:val="1"/>
      <w:marLeft w:val="0"/>
      <w:marRight w:val="0"/>
      <w:marTop w:val="0"/>
      <w:marBottom w:val="0"/>
      <w:divBdr>
        <w:top w:val="none" w:sz="0" w:space="0" w:color="auto"/>
        <w:left w:val="none" w:sz="0" w:space="0" w:color="auto"/>
        <w:bottom w:val="none" w:sz="0" w:space="0" w:color="auto"/>
        <w:right w:val="none" w:sz="0" w:space="0" w:color="auto"/>
      </w:divBdr>
    </w:div>
    <w:div w:id="190725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303)%20993-5271" TargetMode="External"/><Relationship Id="rId3" Type="http://schemas.openxmlformats.org/officeDocument/2006/relationships/settings" Target="settings.xml"/><Relationship Id="rId7" Type="http://schemas.openxmlformats.org/officeDocument/2006/relationships/hyperlink" Target="https://groadvisorworldwid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opulent options</dc:creator>
  <cp:keywords/>
  <dc:description/>
  <cp:lastModifiedBy>Eboni</cp:lastModifiedBy>
  <cp:revision>2</cp:revision>
  <dcterms:created xsi:type="dcterms:W3CDTF">2020-04-20T14:49:00Z</dcterms:created>
  <dcterms:modified xsi:type="dcterms:W3CDTF">2020-04-20T14:49:00Z</dcterms:modified>
</cp:coreProperties>
</file>