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B1CDA" w14:textId="77777777" w:rsidR="00A77B3E" w:rsidRDefault="000F0826">
      <w:pPr>
        <w:jc w:val="right"/>
        <w:outlineLvl w:val="0"/>
      </w:pPr>
      <w:bookmarkStart w:id="0" w:name="Section1"/>
      <w:bookmarkEnd w:id="0"/>
      <w:r>
        <w:rPr>
          <w:b/>
          <w:color w:val="000000"/>
          <w:sz w:val="20"/>
          <w:shd w:val="clear" w:color="auto" w:fill="FFFFFF"/>
        </w:rPr>
        <w:t>Exhibit 99.1</w:t>
      </w:r>
    </w:p>
    <w:p w14:paraId="2B5E983C" w14:textId="77777777" w:rsidR="00A77B3E" w:rsidRDefault="000F0826">
      <w:pPr>
        <w:jc w:val="right"/>
      </w:pPr>
      <w:r>
        <w:rPr>
          <w:noProof/>
        </w:rPr>
        <w:drawing>
          <wp:inline distT="0" distB="0" distL="0" distR="0" wp14:anchorId="4CA15B52" wp14:editId="653937F2">
            <wp:extent cx="6515100" cy="1411605"/>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10"/>
                    <a:stretch>
                      <a:fillRect/>
                    </a:stretch>
                  </pic:blipFill>
                  <pic:spPr>
                    <a:xfrm>
                      <a:off x="0" y="0"/>
                      <a:ext cx="6515100" cy="1411605"/>
                    </a:xfrm>
                    <a:prstGeom prst="rect">
                      <a:avLst/>
                    </a:prstGeom>
                  </pic:spPr>
                </pic:pic>
              </a:graphicData>
            </a:graphic>
          </wp:inline>
        </w:drawing>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59"/>
        <w:gridCol w:w="8275"/>
      </w:tblGrid>
      <w:tr w:rsidR="00F9392A" w14:paraId="62CFFF9D" w14:textId="77777777">
        <w:trPr>
          <w:trHeight w:hRule="exact" w:val="2625"/>
        </w:trPr>
        <w:tc>
          <w:tcPr>
            <w:tcW w:w="1725" w:type="dxa"/>
            <w:tcBorders>
              <w:top w:val="nil"/>
              <w:left w:val="nil"/>
              <w:bottom w:val="nil"/>
              <w:right w:val="nil"/>
            </w:tcBorders>
            <w:shd w:val="clear" w:color="auto" w:fill="auto"/>
            <w:tcMar>
              <w:top w:w="75" w:type="dxa"/>
              <w:left w:w="53" w:type="dxa"/>
              <w:bottom w:w="30" w:type="dxa"/>
              <w:right w:w="53" w:type="dxa"/>
            </w:tcMar>
            <w:vAlign w:val="bottom"/>
          </w:tcPr>
          <w:p w14:paraId="670302BF" w14:textId="77777777" w:rsidR="00A77B3E" w:rsidRDefault="000F0826">
            <w:pPr>
              <w:widowControl w:val="0"/>
              <w:spacing w:line="200" w:lineRule="auto"/>
            </w:pPr>
            <w:r>
              <w:rPr>
                <w:noProof/>
              </w:rPr>
              <w:drawing>
                <wp:inline distT="0" distB="0" distL="0" distR="0" wp14:anchorId="5F2432FA" wp14:editId="0AC48886">
                  <wp:extent cx="1143000" cy="1409700"/>
                  <wp:effectExtent l="0" t="0" r="0" b="0"/>
                  <wp:docPr id="1026" name="Picture 1026"/>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r:embed="rId11"/>
                          <a:stretch>
                            <a:fillRect/>
                          </a:stretch>
                        </pic:blipFill>
                        <pic:spPr>
                          <a:xfrm>
                            <a:off x="0" y="0"/>
                            <a:ext cx="1143000" cy="1409700"/>
                          </a:xfrm>
                          <a:prstGeom prst="rect">
                            <a:avLst/>
                          </a:prstGeom>
                        </pic:spPr>
                      </pic:pic>
                    </a:graphicData>
                  </a:graphic>
                </wp:inline>
              </w:drawing>
            </w:r>
          </w:p>
        </w:tc>
        <w:tc>
          <w:tcPr>
            <w:tcW w:w="60" w:type="dxa"/>
            <w:tcBorders>
              <w:top w:val="nil"/>
              <w:left w:val="nil"/>
              <w:bottom w:val="nil"/>
              <w:right w:val="nil"/>
            </w:tcBorders>
            <w:shd w:val="clear" w:color="auto" w:fill="auto"/>
            <w:tcMar>
              <w:top w:w="0" w:type="dxa"/>
              <w:left w:w="0" w:type="dxa"/>
              <w:bottom w:w="0" w:type="dxa"/>
              <w:right w:w="0" w:type="dxa"/>
            </w:tcMar>
          </w:tcPr>
          <w:p w14:paraId="798D4821" w14:textId="77777777" w:rsidR="00A77B3E" w:rsidRDefault="00A77B3E"/>
        </w:tc>
        <w:tc>
          <w:tcPr>
            <w:tcW w:w="8460" w:type="dxa"/>
            <w:tcBorders>
              <w:top w:val="nil"/>
              <w:left w:val="nil"/>
              <w:bottom w:val="nil"/>
              <w:right w:val="nil"/>
            </w:tcBorders>
            <w:shd w:val="clear" w:color="auto" w:fill="auto"/>
            <w:tcMar>
              <w:top w:w="75" w:type="dxa"/>
              <w:left w:w="53" w:type="dxa"/>
              <w:bottom w:w="30" w:type="dxa"/>
              <w:right w:w="53" w:type="dxa"/>
            </w:tcMar>
            <w:vAlign w:val="center"/>
          </w:tcPr>
          <w:p w14:paraId="3C1505A9" w14:textId="77777777" w:rsidR="00A77B3E" w:rsidRDefault="000F0826">
            <w:pPr>
              <w:widowControl w:val="0"/>
              <w:spacing w:line="200" w:lineRule="auto"/>
            </w:pPr>
            <w:r>
              <w:rPr>
                <w:sz w:val="20"/>
              </w:rPr>
              <w:t>•  The Partnership reported $115 million of net income attributable to the partnership, $133 million of net cash provided by operating activities, $187</w:t>
            </w:r>
            <w:r>
              <w:rPr>
                <w:sz w:val="20"/>
              </w:rPr>
              <w:t xml:space="preserve"> million of adjusted EBITDA attributable to the partnership and $162 million of cash available for distribution.</w:t>
            </w:r>
          </w:p>
          <w:p w14:paraId="0D86FEFC" w14:textId="77777777" w:rsidR="00A77B3E" w:rsidRDefault="00A77B3E">
            <w:pPr>
              <w:widowControl w:val="0"/>
              <w:spacing w:line="200" w:lineRule="auto"/>
            </w:pPr>
          </w:p>
          <w:p w14:paraId="0EF0D42E" w14:textId="77777777" w:rsidR="00A77B3E" w:rsidRDefault="000F0826">
            <w:pPr>
              <w:widowControl w:val="0"/>
              <w:spacing w:line="200" w:lineRule="auto"/>
            </w:pPr>
            <w:r>
              <w:rPr>
                <w:sz w:val="20"/>
              </w:rPr>
              <w:t>•  Second quarter distribution of $0.430 per common unit, up 3.6% from previous quarter, which supports the partnership's intent to deliver mi</w:t>
            </w:r>
            <w:r>
              <w:rPr>
                <w:sz w:val="20"/>
              </w:rPr>
              <w:t>d-teens annual distribution growth through 2019.</w:t>
            </w:r>
          </w:p>
          <w:p w14:paraId="480898E4" w14:textId="77777777" w:rsidR="00A77B3E" w:rsidRDefault="00A77B3E">
            <w:pPr>
              <w:widowControl w:val="0"/>
              <w:spacing w:line="200" w:lineRule="auto"/>
            </w:pPr>
          </w:p>
          <w:p w14:paraId="0CDE34CE" w14:textId="77777777" w:rsidR="00A77B3E" w:rsidRDefault="000F0826">
            <w:pPr>
              <w:widowControl w:val="0"/>
              <w:spacing w:line="200" w:lineRule="auto"/>
            </w:pPr>
            <w:r>
              <w:rPr>
                <w:sz w:val="20"/>
              </w:rPr>
              <w:t>•  Access to high quality midstream assets from our sponsor enables us to deliver on commitments as evidenced by the Colonial and Explorer acquisition completed in the quarter.</w:t>
            </w:r>
          </w:p>
          <w:p w14:paraId="439C6B5F" w14:textId="77777777" w:rsidR="00A77B3E" w:rsidRDefault="00A77B3E">
            <w:pPr>
              <w:widowControl w:val="0"/>
              <w:spacing w:line="200" w:lineRule="auto"/>
            </w:pPr>
          </w:p>
        </w:tc>
      </w:tr>
    </w:tbl>
    <w:p w14:paraId="608E1DA6" w14:textId="77777777" w:rsidR="00A77B3E" w:rsidRDefault="00A77B3E">
      <w:pPr>
        <w:spacing w:before="120"/>
        <w:jc w:val="center"/>
      </w:pPr>
    </w:p>
    <w:p w14:paraId="47144D8F" w14:textId="77777777" w:rsidR="00A77B3E" w:rsidRDefault="000F0826">
      <w:r>
        <w:rPr>
          <w:color w:val="000000"/>
          <w:sz w:val="20"/>
        </w:rPr>
        <w:t>HOUSTON, August 1</w:t>
      </w:r>
      <w:r>
        <w:rPr>
          <w:color w:val="000000"/>
          <w:sz w:val="20"/>
        </w:rPr>
        <w:t>, 2019 – Shell Midstream Partners, L.P. (NYSE: SHLX), a growth-oriented master limited partnership formed by Royal Dutch Shell plc (“RDS”), reported net income attributable to the partnership of $115 million for the second quarter of 2019, which equated to</w:t>
      </w:r>
      <w:r>
        <w:rPr>
          <w:color w:val="000000"/>
          <w:sz w:val="20"/>
        </w:rPr>
        <w:t xml:space="preserve"> $0.38 per common limited partner unit. Shell Midstream Partners also generated adjusted earnings before interest, income taxes, depreciation and amortization attributable to the partnership of $187 million. </w:t>
      </w:r>
    </w:p>
    <w:p w14:paraId="70F04222" w14:textId="77777777" w:rsidR="00A77B3E" w:rsidRDefault="00A77B3E"/>
    <w:p w14:paraId="4C2614BA" w14:textId="77777777" w:rsidR="00A77B3E" w:rsidRDefault="000F0826">
      <w:r>
        <w:rPr>
          <w:color w:val="000000"/>
          <w:sz w:val="20"/>
          <w:shd w:val="clear" w:color="auto" w:fill="FFFFFF"/>
        </w:rPr>
        <w:t>Total cash available for distribution was $162</w:t>
      </w:r>
      <w:r>
        <w:rPr>
          <w:color w:val="000000"/>
          <w:sz w:val="20"/>
          <w:shd w:val="clear" w:color="auto" w:fill="FFFFFF"/>
        </w:rPr>
        <w:t xml:space="preserve"> million, approximately $22 million higher than the prior quarter. The financial results of the quarter were largely driven by the increased distribution related to the Colonial and Explorer acquisition, which offset lower revenues related to the expiratio</w:t>
      </w:r>
      <w:r>
        <w:rPr>
          <w:color w:val="000000"/>
          <w:sz w:val="20"/>
          <w:shd w:val="clear" w:color="auto" w:fill="FFFFFF"/>
        </w:rPr>
        <w:t>n of a contract on the Zydeco system and planned producer turnarounds in the Gulf of Mexico.</w:t>
      </w:r>
    </w:p>
    <w:p w14:paraId="6BF5FF81" w14:textId="77777777" w:rsidR="00A77B3E" w:rsidRDefault="00A77B3E"/>
    <w:p w14:paraId="5757F332" w14:textId="77777777" w:rsidR="00A77B3E" w:rsidRDefault="000F0826">
      <w:r>
        <w:rPr>
          <w:color w:val="000000"/>
          <w:sz w:val="20"/>
        </w:rPr>
        <w:t>“</w:t>
      </w:r>
      <w:r>
        <w:rPr>
          <w:color w:val="000000"/>
          <w:sz w:val="20"/>
          <w:shd w:val="clear" w:color="auto" w:fill="FFFFFF"/>
        </w:rPr>
        <w:t xml:space="preserve">I'm pleased with our second quarter performance, which was underpinned by our increased ownership in Colonial and Explorer - two of the premier refined products </w:t>
      </w:r>
      <w:r>
        <w:rPr>
          <w:color w:val="000000"/>
          <w:sz w:val="20"/>
          <w:shd w:val="clear" w:color="auto" w:fill="FFFFFF"/>
        </w:rPr>
        <w:t>pipelines in the United States,</w:t>
      </w:r>
      <w:r>
        <w:rPr>
          <w:color w:val="000000"/>
          <w:sz w:val="20"/>
        </w:rPr>
        <w:t>”</w:t>
      </w:r>
      <w:r>
        <w:rPr>
          <w:color w:val="000000"/>
          <w:sz w:val="20"/>
          <w:shd w:val="clear" w:color="auto" w:fill="FFFFFF"/>
        </w:rPr>
        <w:t xml:space="preserve"> said Kevin Nichols, CEO, Shell Midstream Partners, GP LLC. </w:t>
      </w:r>
      <w:r>
        <w:rPr>
          <w:color w:val="000000"/>
          <w:sz w:val="20"/>
        </w:rPr>
        <w:t>“</w:t>
      </w:r>
      <w:r>
        <w:rPr>
          <w:color w:val="000000"/>
          <w:sz w:val="20"/>
          <w:shd w:val="clear" w:color="auto" w:fill="FFFFFF"/>
        </w:rPr>
        <w:t>Our diversified portfolio both onshore and offshore continues to deliver value to our customers and unitholders. In the offshore, I'm excited about the growth in t</w:t>
      </w:r>
      <w:r>
        <w:rPr>
          <w:color w:val="000000"/>
          <w:sz w:val="20"/>
          <w:shd w:val="clear" w:color="auto" w:fill="FFFFFF"/>
        </w:rPr>
        <w:t>he Gulf of Mexico - two new fields came online and two new projects were announced in the quarter. Given our strategic footprint and our extensive operating experience, we are well positioned to capture this future growth.</w:t>
      </w:r>
      <w:r>
        <w:rPr>
          <w:color w:val="000000"/>
          <w:sz w:val="20"/>
        </w:rPr>
        <w:t>”</w:t>
      </w:r>
    </w:p>
    <w:p w14:paraId="64199E67" w14:textId="77777777" w:rsidR="00A77B3E" w:rsidRDefault="00A77B3E">
      <w:pPr>
        <w:spacing w:line="190" w:lineRule="auto"/>
      </w:pPr>
    </w:p>
    <w:p w14:paraId="45DEBC12" w14:textId="77777777" w:rsidR="00A77B3E" w:rsidRDefault="00A77B3E">
      <w:pPr>
        <w:spacing w:line="190" w:lineRule="auto"/>
      </w:pPr>
    </w:p>
    <w:p w14:paraId="0CE1D28A" w14:textId="77777777" w:rsidR="00A77B3E" w:rsidRDefault="000F0826">
      <w:pPr>
        <w:spacing w:line="230" w:lineRule="auto"/>
      </w:pPr>
      <w:r>
        <w:rPr>
          <w:color w:val="000000"/>
          <w:sz w:val="20"/>
          <w:shd w:val="clear" w:color="auto" w:fill="FFFFFF"/>
        </w:rPr>
        <w:t>Offshore highlights for the qu</w:t>
      </w:r>
      <w:r>
        <w:rPr>
          <w:color w:val="000000"/>
          <w:sz w:val="20"/>
          <w:shd w:val="clear" w:color="auto" w:fill="FFFFFF"/>
        </w:rPr>
        <w:t>arter include an eight percent increase in volumes quarter over quarter, mainly driven by Appomattox coming online and flowing through Proteus and Endymion. In the onshore, the Zydeco open season concluded with a fully subscribed system – demonstrating the</w:t>
      </w:r>
      <w:r>
        <w:rPr>
          <w:color w:val="000000"/>
          <w:sz w:val="20"/>
          <w:shd w:val="clear" w:color="auto" w:fill="FFFFFF"/>
        </w:rPr>
        <w:t xml:space="preserve"> strategic nature of the asset in the Gulf Coast region. </w:t>
      </w:r>
      <w:r>
        <w:rPr>
          <w:color w:val="000000"/>
          <w:shd w:val="clear" w:color="auto" w:fill="FFFFFF"/>
        </w:rPr>
        <w:t xml:space="preserve"> </w:t>
      </w:r>
    </w:p>
    <w:p w14:paraId="4E569CFF" w14:textId="77777777" w:rsidR="00A77B3E" w:rsidRDefault="00A77B3E"/>
    <w:p w14:paraId="6BD1CA8F" w14:textId="77777777" w:rsidR="00A77B3E" w:rsidRDefault="000F0826">
      <w:r>
        <w:rPr>
          <w:color w:val="000000"/>
          <w:sz w:val="20"/>
        </w:rPr>
        <w:t>The Board of Directors of the general partner previously declared a cash distribution of $0.430 per limited partner unit for the</w:t>
      </w:r>
    </w:p>
    <w:p w14:paraId="6A54CDAD" w14:textId="77777777" w:rsidR="00A77B3E" w:rsidRDefault="000F0826">
      <w:r>
        <w:rPr>
          <w:color w:val="000000"/>
          <w:sz w:val="20"/>
        </w:rPr>
        <w:t>second</w:t>
      </w:r>
      <w:r>
        <w:rPr>
          <w:color w:val="000000"/>
          <w:sz w:val="20"/>
        </w:rPr>
        <w:t xml:space="preserve"> quarter of 2019. This distribution represented an increase of 3.6% over the first quarter 2019 distribution and a 17.8% increase over the second quarter 2018 distribution. This represents the eighteenth consecutive quarter of distribution growth, and meet</w:t>
      </w:r>
      <w:r>
        <w:rPr>
          <w:color w:val="000000"/>
          <w:sz w:val="20"/>
        </w:rPr>
        <w:t>s the Partnership’s previously disclosed guidance of mid-teens annual distribution growth in 2019.</w:t>
      </w:r>
    </w:p>
    <w:p w14:paraId="52635E42" w14:textId="77777777" w:rsidR="00A77B3E" w:rsidRDefault="00A77B3E">
      <w:pPr>
        <w:jc w:val="both"/>
      </w:pPr>
    </w:p>
    <w:p w14:paraId="4923DFD8" w14:textId="77777777" w:rsidR="00A77B3E" w:rsidRDefault="000F0826">
      <w:pPr>
        <w:keepNext/>
        <w:pageBreakBefore/>
      </w:pPr>
      <w:r>
        <w:rPr>
          <w:b/>
          <w:color w:val="000000"/>
          <w:sz w:val="20"/>
        </w:rPr>
        <w:t>FINANCIAL HIGHLIGHTS</w:t>
      </w:r>
    </w:p>
    <w:p w14:paraId="004F4175" w14:textId="77777777" w:rsidR="00A77B3E" w:rsidRDefault="00A77B3E">
      <w:pPr>
        <w:keepNext/>
      </w:pPr>
    </w:p>
    <w:p w14:paraId="7B8ECCC3" w14:textId="77777777" w:rsidR="00A77B3E" w:rsidRDefault="000F0826" w:rsidP="00773D73">
      <w:pPr>
        <w:keepLines/>
        <w:widowControl w:val="0"/>
        <w:numPr>
          <w:ilvl w:val="0"/>
          <w:numId w:val="6"/>
        </w:numPr>
        <w:ind w:left="360"/>
      </w:pPr>
      <w:r>
        <w:rPr>
          <w:color w:val="000000"/>
          <w:sz w:val="20"/>
        </w:rPr>
        <w:t>Net income attributable to the partnership was $115 million, compared to $132 million for the prior quarter.</w:t>
      </w:r>
    </w:p>
    <w:p w14:paraId="30525BF0" w14:textId="77777777" w:rsidR="00A77B3E" w:rsidRDefault="000F0826" w:rsidP="00773D73">
      <w:pPr>
        <w:keepLines/>
        <w:widowControl w:val="0"/>
        <w:numPr>
          <w:ilvl w:val="0"/>
          <w:numId w:val="6"/>
        </w:numPr>
        <w:ind w:left="360"/>
      </w:pPr>
      <w:r>
        <w:rPr>
          <w:color w:val="000000"/>
          <w:sz w:val="20"/>
        </w:rPr>
        <w:t>Net cash provided by oper</w:t>
      </w:r>
      <w:r>
        <w:rPr>
          <w:color w:val="000000"/>
          <w:sz w:val="20"/>
        </w:rPr>
        <w:t>ating activities was $133 million, compared to $150 million for the prior quarter.</w:t>
      </w:r>
    </w:p>
    <w:p w14:paraId="629DDB3B" w14:textId="77777777" w:rsidR="00A77B3E" w:rsidRDefault="000F0826" w:rsidP="00773D73">
      <w:pPr>
        <w:keepLines/>
        <w:widowControl w:val="0"/>
        <w:numPr>
          <w:ilvl w:val="0"/>
          <w:numId w:val="6"/>
        </w:numPr>
        <w:ind w:left="360"/>
      </w:pPr>
      <w:r>
        <w:rPr>
          <w:color w:val="000000"/>
          <w:sz w:val="20"/>
        </w:rPr>
        <w:t>Cash available for distribution was $162 million, compared to $140 million for the prior quarter, largely driven by increased distributions related to the Colonial and Explo</w:t>
      </w:r>
      <w:r>
        <w:rPr>
          <w:color w:val="000000"/>
          <w:sz w:val="20"/>
        </w:rPr>
        <w:t>rer acquisition, which were partially offset by lower Zydeco revenues.</w:t>
      </w:r>
    </w:p>
    <w:p w14:paraId="5CF0467D" w14:textId="77777777" w:rsidR="00A77B3E" w:rsidRDefault="000F0826" w:rsidP="00773D73">
      <w:pPr>
        <w:keepLines/>
        <w:widowControl w:val="0"/>
        <w:numPr>
          <w:ilvl w:val="0"/>
          <w:numId w:val="6"/>
        </w:numPr>
        <w:ind w:left="360"/>
      </w:pPr>
      <w:r>
        <w:rPr>
          <w:color w:val="000000"/>
          <w:sz w:val="20"/>
        </w:rPr>
        <w:t xml:space="preserve">Total cash distribution declared was $131 million, resulting in a coverage ratio of 1.2x. </w:t>
      </w:r>
    </w:p>
    <w:p w14:paraId="08CD245F" w14:textId="77777777" w:rsidR="00A77B3E" w:rsidRDefault="000F0826" w:rsidP="00773D73">
      <w:pPr>
        <w:keepLines/>
        <w:widowControl w:val="0"/>
        <w:numPr>
          <w:ilvl w:val="0"/>
          <w:numId w:val="6"/>
        </w:numPr>
        <w:ind w:left="360"/>
      </w:pPr>
      <w:r>
        <w:rPr>
          <w:color w:val="000000"/>
          <w:sz w:val="20"/>
        </w:rPr>
        <w:t>Adjusted EBITDA attributable to the partnership was $187 million, compared to $170 million for</w:t>
      </w:r>
      <w:r>
        <w:rPr>
          <w:color w:val="000000"/>
          <w:sz w:val="20"/>
        </w:rPr>
        <w:t xml:space="preserve"> the prior quarter. </w:t>
      </w:r>
    </w:p>
    <w:p w14:paraId="40F906C3" w14:textId="77777777" w:rsidR="00A77B3E" w:rsidRDefault="000F0826" w:rsidP="00773D73">
      <w:pPr>
        <w:keepLines/>
        <w:widowControl w:val="0"/>
        <w:numPr>
          <w:ilvl w:val="0"/>
          <w:numId w:val="6"/>
        </w:numPr>
        <w:ind w:left="360"/>
      </w:pPr>
      <w:r>
        <w:rPr>
          <w:color w:val="000000"/>
          <w:sz w:val="20"/>
        </w:rPr>
        <w:t xml:space="preserve">As of June 30, 2019, the Partnership had $257 million of consolidated cash and cash equivalents on hand. </w:t>
      </w:r>
    </w:p>
    <w:p w14:paraId="2C852DCC" w14:textId="77777777" w:rsidR="00A77B3E" w:rsidRDefault="000F0826" w:rsidP="00773D73">
      <w:pPr>
        <w:keepLines/>
        <w:widowControl w:val="0"/>
        <w:numPr>
          <w:ilvl w:val="0"/>
          <w:numId w:val="6"/>
        </w:numPr>
        <w:ind w:left="360"/>
      </w:pPr>
      <w:r>
        <w:rPr>
          <w:color w:val="000000"/>
          <w:sz w:val="20"/>
        </w:rPr>
        <w:t>As of June 30, 2019, the Partnership had total debt of $2.7 billion, equating to 3.6x Debt to annualized Q2 2019 Adjusted EBITDA.</w:t>
      </w:r>
      <w:r>
        <w:rPr>
          <w:color w:val="000000"/>
          <w:sz w:val="20"/>
        </w:rPr>
        <w:t xml:space="preserve"> Current debt levels are well within our targeted range and provide full flexibility to continue to grow in line with guidance.</w:t>
      </w:r>
    </w:p>
    <w:p w14:paraId="0C3AC57A" w14:textId="77777777" w:rsidR="00A77B3E" w:rsidRDefault="00A77B3E">
      <w:pPr>
        <w:keepLines/>
        <w:widowControl w:val="0"/>
        <w:ind w:left="-360"/>
        <w:jc w:val="both"/>
      </w:pPr>
    </w:p>
    <w:p w14:paraId="45B68F0B" w14:textId="77777777" w:rsidR="00A77B3E" w:rsidRDefault="000F0826">
      <w:pPr>
        <w:keepLines/>
        <w:widowControl w:val="0"/>
      </w:pPr>
      <w:r>
        <w:rPr>
          <w:i/>
          <w:color w:val="000000"/>
          <w:sz w:val="20"/>
        </w:rPr>
        <w:t>Cash available for distribution and Adjusted EBITDA are non-GAAP supplemental financial measures. See reconciliation to their m</w:t>
      </w:r>
      <w:r>
        <w:rPr>
          <w:i/>
          <w:color w:val="000000"/>
          <w:sz w:val="20"/>
        </w:rPr>
        <w:t xml:space="preserve">ost comparable GAAP measures later in this press release. </w:t>
      </w:r>
    </w:p>
    <w:p w14:paraId="079A7BE8" w14:textId="77777777" w:rsidR="00A77B3E" w:rsidRDefault="00A77B3E">
      <w:pPr>
        <w:keepLines/>
        <w:widowControl w:val="0"/>
        <w:ind w:left="360"/>
      </w:pPr>
    </w:p>
    <w:p w14:paraId="4C901DC4" w14:textId="77777777" w:rsidR="00A77B3E" w:rsidRDefault="000F0826">
      <w:pPr>
        <w:keepNext/>
      </w:pPr>
      <w:r>
        <w:rPr>
          <w:b/>
          <w:color w:val="000000"/>
          <w:sz w:val="20"/>
        </w:rPr>
        <w:t>ASSET HIGHLIGHTS</w:t>
      </w:r>
    </w:p>
    <w:p w14:paraId="4FD2C1AB" w14:textId="77777777" w:rsidR="00A77B3E" w:rsidRDefault="00A77B3E">
      <w:pPr>
        <w:keepNext/>
      </w:pPr>
    </w:p>
    <w:p w14:paraId="635C9250" w14:textId="77777777" w:rsidR="00A77B3E" w:rsidRDefault="000F0826">
      <w:pPr>
        <w:keepLines/>
        <w:widowControl w:val="0"/>
      </w:pPr>
      <w:r>
        <w:rPr>
          <w:color w:val="000000"/>
          <w:sz w:val="20"/>
        </w:rPr>
        <w:t xml:space="preserve">Significant Onshore Pipeline Transportation: </w:t>
      </w:r>
    </w:p>
    <w:p w14:paraId="7165F50E" w14:textId="77777777" w:rsidR="00A77B3E" w:rsidRDefault="000F0826" w:rsidP="00773D73">
      <w:pPr>
        <w:keepLines/>
        <w:widowControl w:val="0"/>
        <w:numPr>
          <w:ilvl w:val="1"/>
          <w:numId w:val="32"/>
        </w:numPr>
        <w:ind w:left="1080"/>
      </w:pPr>
      <w:r>
        <w:rPr>
          <w:color w:val="000000"/>
          <w:sz w:val="20"/>
        </w:rPr>
        <w:t xml:space="preserve">Zydeco - Mainline volumes were 635 </w:t>
      </w:r>
      <w:proofErr w:type="spellStart"/>
      <w:r>
        <w:rPr>
          <w:color w:val="000000"/>
          <w:sz w:val="20"/>
        </w:rPr>
        <w:t>kbpd</w:t>
      </w:r>
      <w:proofErr w:type="spellEnd"/>
      <w:r>
        <w:rPr>
          <w:color w:val="000000"/>
          <w:sz w:val="20"/>
        </w:rPr>
        <w:t xml:space="preserve"> in the current quarter, compared to 628</w:t>
      </w:r>
      <w:r>
        <w:rPr>
          <w:color w:val="000000"/>
          <w:sz w:val="20"/>
        </w:rPr>
        <w:t xml:space="preserve"> </w:t>
      </w:r>
      <w:proofErr w:type="spellStart"/>
      <w:r>
        <w:rPr>
          <w:color w:val="000000"/>
          <w:sz w:val="20"/>
        </w:rPr>
        <w:t>kbpd</w:t>
      </w:r>
      <w:proofErr w:type="spellEnd"/>
      <w:r>
        <w:rPr>
          <w:color w:val="000000"/>
          <w:sz w:val="20"/>
        </w:rPr>
        <w:t xml:space="preserve"> in the prior quarter. The increase in volumes was related to increased offshore volumes, partially offset by volumes related to a contract which expired in the second quarter of 2019.</w:t>
      </w:r>
    </w:p>
    <w:p w14:paraId="6F770CCC" w14:textId="77777777" w:rsidR="00A77B3E" w:rsidRDefault="00A77B3E">
      <w:pPr>
        <w:keepLines/>
        <w:widowControl w:val="0"/>
      </w:pPr>
    </w:p>
    <w:p w14:paraId="4532F1E9" w14:textId="77777777" w:rsidR="00A77B3E" w:rsidRDefault="000F0826">
      <w:pPr>
        <w:keepLines/>
        <w:widowControl w:val="0"/>
        <w:jc w:val="both"/>
      </w:pPr>
      <w:r>
        <w:rPr>
          <w:color w:val="000000"/>
          <w:sz w:val="20"/>
        </w:rPr>
        <w:t xml:space="preserve">Significant Offshore Pipeline Transportation: </w:t>
      </w:r>
    </w:p>
    <w:p w14:paraId="4E773E9A" w14:textId="77777777" w:rsidR="00A77B3E" w:rsidRDefault="000F0826" w:rsidP="00773D73">
      <w:pPr>
        <w:keepLines/>
        <w:widowControl w:val="0"/>
        <w:numPr>
          <w:ilvl w:val="1"/>
          <w:numId w:val="56"/>
        </w:numPr>
        <w:ind w:left="1080"/>
      </w:pPr>
      <w:r>
        <w:rPr>
          <w:color w:val="000000"/>
          <w:sz w:val="20"/>
        </w:rPr>
        <w:t xml:space="preserve">Amberjack - Volumes were 359 </w:t>
      </w:r>
      <w:proofErr w:type="spellStart"/>
      <w:r>
        <w:rPr>
          <w:color w:val="000000"/>
          <w:sz w:val="20"/>
        </w:rPr>
        <w:t>kbpd</w:t>
      </w:r>
      <w:proofErr w:type="spellEnd"/>
      <w:r>
        <w:rPr>
          <w:color w:val="000000"/>
          <w:sz w:val="20"/>
        </w:rPr>
        <w:t xml:space="preserve"> in the current quarter, compared to 362 </w:t>
      </w:r>
      <w:proofErr w:type="spellStart"/>
      <w:r>
        <w:rPr>
          <w:color w:val="000000"/>
          <w:sz w:val="20"/>
        </w:rPr>
        <w:t>kbpd</w:t>
      </w:r>
      <w:proofErr w:type="spellEnd"/>
      <w:r>
        <w:rPr>
          <w:color w:val="000000"/>
          <w:sz w:val="20"/>
        </w:rPr>
        <w:t xml:space="preserve"> in the prior quarter. Lower volume related to an eight day planned producer turnaround.</w:t>
      </w:r>
      <w:r>
        <w:rPr>
          <w:color w:val="000000"/>
          <w:sz w:val="20"/>
          <w:shd w:val="clear" w:color="auto" w:fill="FFFFFF"/>
        </w:rPr>
        <w:t xml:space="preserve"> Continued growth is expected on the pipeline as new production ramps up. </w:t>
      </w:r>
    </w:p>
    <w:p w14:paraId="4FA9744F" w14:textId="77777777" w:rsidR="00A77B3E" w:rsidRDefault="000F0826" w:rsidP="00773D73">
      <w:pPr>
        <w:keepLines/>
        <w:widowControl w:val="0"/>
        <w:numPr>
          <w:ilvl w:val="1"/>
          <w:numId w:val="56"/>
        </w:numPr>
        <w:ind w:left="1080"/>
      </w:pPr>
      <w:r>
        <w:rPr>
          <w:color w:val="000000"/>
          <w:sz w:val="20"/>
        </w:rPr>
        <w:t xml:space="preserve">Mars - Volumes </w:t>
      </w:r>
      <w:r>
        <w:rPr>
          <w:color w:val="000000"/>
          <w:sz w:val="20"/>
        </w:rPr>
        <w:t xml:space="preserve">were 569 </w:t>
      </w:r>
      <w:proofErr w:type="spellStart"/>
      <w:r>
        <w:rPr>
          <w:color w:val="000000"/>
          <w:sz w:val="20"/>
        </w:rPr>
        <w:t>kbpd</w:t>
      </w:r>
      <w:proofErr w:type="spellEnd"/>
      <w:r>
        <w:rPr>
          <w:color w:val="000000"/>
          <w:sz w:val="20"/>
        </w:rPr>
        <w:t xml:space="preserve"> compared to 556 </w:t>
      </w:r>
      <w:proofErr w:type="spellStart"/>
      <w:r>
        <w:rPr>
          <w:color w:val="000000"/>
          <w:sz w:val="20"/>
        </w:rPr>
        <w:t>kbpd</w:t>
      </w:r>
      <w:proofErr w:type="spellEnd"/>
      <w:r>
        <w:rPr>
          <w:color w:val="000000"/>
          <w:sz w:val="20"/>
        </w:rPr>
        <w:t xml:space="preserve"> in the prior quarter. The higher volumes were related to growth on </w:t>
      </w:r>
      <w:proofErr w:type="spellStart"/>
      <w:r>
        <w:rPr>
          <w:color w:val="000000"/>
          <w:sz w:val="20"/>
        </w:rPr>
        <w:t>Ursa</w:t>
      </w:r>
      <w:proofErr w:type="spellEnd"/>
      <w:r>
        <w:rPr>
          <w:color w:val="000000"/>
          <w:sz w:val="20"/>
        </w:rPr>
        <w:t>, partially offset by planned producer turnarounds.</w:t>
      </w:r>
    </w:p>
    <w:p w14:paraId="32DFD6CA" w14:textId="77777777" w:rsidR="00A77B3E" w:rsidRDefault="000F0826" w:rsidP="00773D73">
      <w:pPr>
        <w:keepLines/>
        <w:widowControl w:val="0"/>
        <w:numPr>
          <w:ilvl w:val="1"/>
          <w:numId w:val="68"/>
        </w:numPr>
        <w:ind w:left="1080"/>
      </w:pPr>
      <w:r>
        <w:rPr>
          <w:color w:val="000000"/>
          <w:sz w:val="20"/>
        </w:rPr>
        <w:t xml:space="preserve">Auger - Volumes were 78 </w:t>
      </w:r>
      <w:proofErr w:type="spellStart"/>
      <w:r>
        <w:rPr>
          <w:color w:val="000000"/>
          <w:sz w:val="20"/>
        </w:rPr>
        <w:t>kbpd</w:t>
      </w:r>
      <w:proofErr w:type="spellEnd"/>
      <w:r>
        <w:rPr>
          <w:color w:val="000000"/>
          <w:sz w:val="20"/>
        </w:rPr>
        <w:t xml:space="preserve">, lower than the prior quarter of 86 </w:t>
      </w:r>
      <w:proofErr w:type="spellStart"/>
      <w:r>
        <w:rPr>
          <w:color w:val="000000"/>
          <w:sz w:val="20"/>
        </w:rPr>
        <w:t>kbpd</w:t>
      </w:r>
      <w:proofErr w:type="spellEnd"/>
      <w:r>
        <w:rPr>
          <w:color w:val="000000"/>
          <w:sz w:val="20"/>
        </w:rPr>
        <w:t>. We received</w:t>
      </w:r>
      <w:r>
        <w:rPr>
          <w:color w:val="000000"/>
          <w:sz w:val="20"/>
          <w:shd w:val="clear" w:color="auto" w:fill="FFFFFF"/>
        </w:rPr>
        <w:t xml:space="preserve"> $3 million in t</w:t>
      </w:r>
      <w:r>
        <w:rPr>
          <w:color w:val="000000"/>
          <w:sz w:val="20"/>
          <w:shd w:val="clear" w:color="auto" w:fill="FFFFFF"/>
        </w:rPr>
        <w:t>he second quarter of 2019 for business interruption recoveries associated with outages in 2018.</w:t>
      </w:r>
    </w:p>
    <w:p w14:paraId="503FBFED" w14:textId="77777777" w:rsidR="00A77B3E" w:rsidRDefault="000F0826" w:rsidP="00773D73">
      <w:pPr>
        <w:keepLines/>
        <w:widowControl w:val="0"/>
        <w:numPr>
          <w:ilvl w:val="1"/>
          <w:numId w:val="68"/>
        </w:numPr>
        <w:ind w:left="1080"/>
      </w:pPr>
      <w:r>
        <w:rPr>
          <w:color w:val="000000"/>
          <w:sz w:val="20"/>
        </w:rPr>
        <w:t xml:space="preserve">Eastern Corridor - Volumes were 433 </w:t>
      </w:r>
      <w:proofErr w:type="spellStart"/>
      <w:r>
        <w:rPr>
          <w:color w:val="000000"/>
          <w:sz w:val="20"/>
        </w:rPr>
        <w:t>kbpd</w:t>
      </w:r>
      <w:proofErr w:type="spellEnd"/>
      <w:r>
        <w:rPr>
          <w:color w:val="000000"/>
          <w:sz w:val="20"/>
        </w:rPr>
        <w:t xml:space="preserve"> compared to 470 </w:t>
      </w:r>
      <w:proofErr w:type="spellStart"/>
      <w:r>
        <w:rPr>
          <w:color w:val="000000"/>
          <w:sz w:val="20"/>
        </w:rPr>
        <w:t>kbpd</w:t>
      </w:r>
      <w:proofErr w:type="spellEnd"/>
      <w:r>
        <w:rPr>
          <w:color w:val="000000"/>
          <w:sz w:val="20"/>
        </w:rPr>
        <w:t xml:space="preserve"> in the prior quarter, largely due to planned producer turnarounds. </w:t>
      </w:r>
    </w:p>
    <w:p w14:paraId="38B2B7F2" w14:textId="77777777" w:rsidR="00A77B3E" w:rsidRDefault="000F0826">
      <w:pPr>
        <w:keepNext/>
        <w:spacing w:before="360" w:after="120"/>
      </w:pPr>
      <w:r>
        <w:rPr>
          <w:b/>
          <w:color w:val="000000"/>
          <w:sz w:val="20"/>
        </w:rPr>
        <w:t>ABOUT SHELL MIDSTREAM PARTNERS</w:t>
      </w:r>
      <w:r>
        <w:rPr>
          <w:b/>
          <w:color w:val="000000"/>
          <w:sz w:val="20"/>
        </w:rPr>
        <w:t xml:space="preserve">, L.P.  </w:t>
      </w:r>
    </w:p>
    <w:p w14:paraId="3B479861" w14:textId="77777777" w:rsidR="00A77B3E" w:rsidRDefault="000F0826">
      <w:r>
        <w:rPr>
          <w:color w:val="333333"/>
          <w:sz w:val="20"/>
        </w:rPr>
        <w:t>Shell Midstream Partners, L.P., headquartered in Houston, Texas, is a growth-oriented master limited partnership formed by</w:t>
      </w:r>
    </w:p>
    <w:p w14:paraId="44AD966F" w14:textId="77777777" w:rsidR="00A77B3E" w:rsidRDefault="000F0826">
      <w:r>
        <w:rPr>
          <w:color w:val="333333"/>
          <w:sz w:val="20"/>
        </w:rPr>
        <w:t>Royal Dutch Shell plc to own, operate, develop and acquire pipelines and other midstream assets. Shell Midstream Partners,</w:t>
      </w:r>
    </w:p>
    <w:p w14:paraId="5270E7F4" w14:textId="77777777" w:rsidR="00A77B3E" w:rsidRDefault="000F0826">
      <w:r>
        <w:rPr>
          <w:color w:val="333333"/>
          <w:sz w:val="20"/>
        </w:rPr>
        <w:t>L</w:t>
      </w:r>
      <w:r>
        <w:rPr>
          <w:color w:val="333333"/>
          <w:sz w:val="20"/>
        </w:rPr>
        <w:t>.P.’s assets include interests in entities that own crude oil and refined products pipelines and terminals that serve as key</w:t>
      </w:r>
    </w:p>
    <w:p w14:paraId="507F6E5B" w14:textId="77777777" w:rsidR="00A77B3E" w:rsidRDefault="000F0826">
      <w:r>
        <w:rPr>
          <w:color w:val="333333"/>
          <w:sz w:val="20"/>
        </w:rPr>
        <w:t>infrastructure to (</w:t>
      </w:r>
      <w:proofErr w:type="spellStart"/>
      <w:r>
        <w:rPr>
          <w:color w:val="333333"/>
          <w:sz w:val="20"/>
        </w:rPr>
        <w:t>i</w:t>
      </w:r>
      <w:proofErr w:type="spellEnd"/>
      <w:r>
        <w:rPr>
          <w:color w:val="333333"/>
          <w:sz w:val="20"/>
        </w:rPr>
        <w:t>) transport onshore and offshore crude oil production to Gulf Coast and Midwest refining markets and (ii)</w:t>
      </w:r>
    </w:p>
    <w:p w14:paraId="43B9766B" w14:textId="77777777" w:rsidR="00A77B3E" w:rsidRDefault="000F0826">
      <w:r>
        <w:rPr>
          <w:color w:val="333333"/>
          <w:sz w:val="20"/>
        </w:rPr>
        <w:t>deliv</w:t>
      </w:r>
      <w:r>
        <w:rPr>
          <w:color w:val="333333"/>
          <w:sz w:val="20"/>
        </w:rPr>
        <w:t>er refined products from those markets to major demand centers. Our assets also include interests in entities that own</w:t>
      </w:r>
    </w:p>
    <w:p w14:paraId="3D00CD26" w14:textId="77777777" w:rsidR="00A77B3E" w:rsidRDefault="000F0826">
      <w:r>
        <w:rPr>
          <w:color w:val="333333"/>
          <w:sz w:val="20"/>
        </w:rPr>
        <w:t>natural gas and refinery gas pipelines that transport offshore natural gas to market hubs and deliver refinery gas from refineries</w:t>
      </w:r>
    </w:p>
    <w:p w14:paraId="62CB0252" w14:textId="77777777" w:rsidR="00A77B3E" w:rsidRDefault="000F0826">
      <w:r>
        <w:rPr>
          <w:color w:val="333333"/>
          <w:sz w:val="20"/>
        </w:rPr>
        <w:t>and pl</w:t>
      </w:r>
      <w:r>
        <w:rPr>
          <w:color w:val="333333"/>
          <w:sz w:val="20"/>
        </w:rPr>
        <w:t>ants to chemical sites along the Gulf Coast.</w:t>
      </w:r>
    </w:p>
    <w:p w14:paraId="2124E3A0" w14:textId="77777777" w:rsidR="00A77B3E" w:rsidRDefault="000F0826">
      <w:pPr>
        <w:spacing w:before="120" w:after="120"/>
      </w:pPr>
      <w:r>
        <w:rPr>
          <w:color w:val="000000"/>
          <w:sz w:val="20"/>
        </w:rPr>
        <w:t xml:space="preserve">For more information on Shell Midstream Partners and the assets owned by the partnership, please visit www.shellmidstreampartners.com. </w:t>
      </w:r>
    </w:p>
    <w:p w14:paraId="1F3D30D1" w14:textId="77777777" w:rsidR="00A77B3E" w:rsidRDefault="000F0826">
      <w:pPr>
        <w:keepNext/>
        <w:spacing w:before="360"/>
      </w:pPr>
      <w:r>
        <w:rPr>
          <w:b/>
          <w:color w:val="000000"/>
          <w:sz w:val="20"/>
        </w:rPr>
        <w:t>FORTHCOMING EVENTS</w:t>
      </w:r>
    </w:p>
    <w:p w14:paraId="0986848A" w14:textId="77777777" w:rsidR="00A77B3E" w:rsidRDefault="000F0826">
      <w:pPr>
        <w:keepNext/>
        <w:spacing w:before="120"/>
      </w:pPr>
      <w:r>
        <w:rPr>
          <w:color w:val="000000"/>
          <w:sz w:val="20"/>
        </w:rPr>
        <w:t>Shell Midstream Partners, L.P. will hold a webcast a</w:t>
      </w:r>
      <w:r>
        <w:rPr>
          <w:color w:val="000000"/>
          <w:sz w:val="20"/>
          <w:shd w:val="clear" w:color="auto" w:fill="FFFFFF"/>
        </w:rPr>
        <w:t>t 9:</w:t>
      </w:r>
      <w:r>
        <w:rPr>
          <w:color w:val="000000"/>
          <w:sz w:val="20"/>
          <w:shd w:val="clear" w:color="auto" w:fill="FFFFFF"/>
        </w:rPr>
        <w:t>00am CT tomorrow</w:t>
      </w:r>
      <w:r>
        <w:rPr>
          <w:color w:val="000000"/>
          <w:sz w:val="20"/>
        </w:rPr>
        <w:t xml:space="preserve"> to discuss the reported results and provide an update on partnership operations. Interested parties may listen to the conference call on Shell Midstream Partners, L.P.’s website at </w:t>
      </w:r>
      <w:r>
        <w:rPr>
          <w:color w:val="000000"/>
          <w:sz w:val="20"/>
          <w:u w:val="single"/>
        </w:rPr>
        <w:t>www.shellmidstreampartners.com</w:t>
      </w:r>
      <w:r>
        <w:rPr>
          <w:color w:val="000000"/>
          <w:sz w:val="20"/>
        </w:rPr>
        <w:t xml:space="preserve"> by clicking on the “2019 Se</w:t>
      </w:r>
      <w:r>
        <w:rPr>
          <w:color w:val="000000"/>
          <w:sz w:val="20"/>
        </w:rPr>
        <w:t>cond-Quarter Financial Results Call” link, found under the “Events and Conferences” section. A replay of the conference call will be available following the live webcast.</w:t>
      </w:r>
    </w:p>
    <w:p w14:paraId="089767F8" w14:textId="77777777" w:rsidR="00A77B3E" w:rsidRDefault="00A77B3E">
      <w:pPr>
        <w:keepNext/>
        <w:spacing w:before="120"/>
        <w:sectPr w:rsidR="00A77B3E">
          <w:headerReference w:type="default" r:id="rId12"/>
          <w:footerReference w:type="default" r:id="rId13"/>
          <w:type w:val="continuous"/>
          <w:pgSz w:w="12240" w:h="15840"/>
          <w:pgMar w:top="855" w:right="990" w:bottom="855" w:left="990" w:header="270" w:footer="270" w:gutter="0"/>
          <w:pgNumType w:start="1"/>
          <w:cols w:space="720"/>
          <w:docGrid w:linePitch="360"/>
        </w:sectPr>
      </w:pPr>
    </w:p>
    <w:p w14:paraId="337C53A9" w14:textId="77777777" w:rsidR="00F9392A" w:rsidRDefault="000F0826">
      <w:pPr>
        <w:keepNext/>
        <w:outlineLvl w:val="0"/>
      </w:pPr>
      <w:bookmarkStart w:id="1" w:name="Section2"/>
      <w:bookmarkEnd w:id="1"/>
      <w:r>
        <w:rPr>
          <w:b/>
          <w:color w:val="000000"/>
          <w:sz w:val="22"/>
        </w:rPr>
        <w:t xml:space="preserve">Summarized Financial Statement </w:t>
      </w:r>
      <w:r>
        <w:rPr>
          <w:b/>
          <w:color w:val="000000"/>
          <w:sz w:val="22"/>
        </w:rPr>
        <w:t>Information</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1"/>
        <w:gridCol w:w="239"/>
        <w:gridCol w:w="100"/>
        <w:gridCol w:w="1650"/>
        <w:gridCol w:w="75"/>
        <w:gridCol w:w="100"/>
        <w:gridCol w:w="1695"/>
      </w:tblGrid>
      <w:tr w:rsidR="00F9392A" w14:paraId="0A3ACE82" w14:textId="77777777">
        <w:trPr>
          <w:trHeight w:hRule="exact" w:val="270"/>
        </w:trPr>
        <w:tc>
          <w:tcPr>
            <w:tcW w:w="6000" w:type="dxa"/>
            <w:tcBorders>
              <w:top w:val="nil"/>
              <w:left w:val="nil"/>
              <w:bottom w:val="nil"/>
              <w:right w:val="nil"/>
            </w:tcBorders>
            <w:shd w:val="clear" w:color="auto" w:fill="auto"/>
            <w:tcMar>
              <w:top w:w="0" w:type="dxa"/>
              <w:left w:w="0" w:type="dxa"/>
              <w:bottom w:w="0" w:type="dxa"/>
              <w:right w:w="0" w:type="dxa"/>
            </w:tcMar>
            <w:vAlign w:val="center"/>
          </w:tcPr>
          <w:p w14:paraId="43A24792" w14:textId="77777777" w:rsidR="00F9392A" w:rsidRDefault="00F9392A"/>
        </w:tc>
        <w:tc>
          <w:tcPr>
            <w:tcW w:w="240" w:type="dxa"/>
            <w:tcBorders>
              <w:top w:val="nil"/>
              <w:left w:val="nil"/>
              <w:bottom w:val="nil"/>
              <w:right w:val="nil"/>
            </w:tcBorders>
            <w:shd w:val="clear" w:color="auto" w:fill="auto"/>
            <w:tcMar>
              <w:top w:w="0" w:type="dxa"/>
              <w:left w:w="0" w:type="dxa"/>
              <w:bottom w:w="0" w:type="dxa"/>
              <w:right w:w="0" w:type="dxa"/>
            </w:tcMar>
            <w:vAlign w:val="center"/>
          </w:tcPr>
          <w:p w14:paraId="43A08953" w14:textId="77777777" w:rsidR="00F9392A" w:rsidRDefault="00F9392A"/>
        </w:tc>
        <w:tc>
          <w:tcPr>
            <w:tcW w:w="3630" w:type="dxa"/>
            <w:gridSpan w:val="5"/>
            <w:tcBorders>
              <w:top w:val="nil"/>
              <w:left w:val="nil"/>
              <w:bottom w:val="nil"/>
              <w:right w:val="nil"/>
            </w:tcBorders>
            <w:shd w:val="clear" w:color="auto" w:fill="auto"/>
            <w:tcMar>
              <w:top w:w="75" w:type="dxa"/>
              <w:left w:w="53" w:type="dxa"/>
              <w:bottom w:w="30" w:type="dxa"/>
              <w:right w:w="53" w:type="dxa"/>
            </w:tcMar>
            <w:vAlign w:val="bottom"/>
          </w:tcPr>
          <w:p w14:paraId="00C11477" w14:textId="77777777" w:rsidR="00F9392A" w:rsidRDefault="000F0826">
            <w:pPr>
              <w:spacing w:line="200" w:lineRule="auto"/>
              <w:jc w:val="center"/>
            </w:pPr>
            <w:r>
              <w:rPr>
                <w:b/>
                <w:sz w:val="16"/>
              </w:rPr>
              <w:t>For the Three Months Ended</w:t>
            </w:r>
          </w:p>
        </w:tc>
      </w:tr>
      <w:tr w:rsidR="00F9392A" w14:paraId="542D07D3" w14:textId="77777777">
        <w:trPr>
          <w:trHeight w:hRule="exact" w:val="255"/>
        </w:trPr>
        <w:tc>
          <w:tcPr>
            <w:tcW w:w="6000" w:type="dxa"/>
            <w:tcBorders>
              <w:top w:val="nil"/>
              <w:left w:val="nil"/>
              <w:bottom w:val="nil"/>
              <w:right w:val="nil"/>
            </w:tcBorders>
            <w:shd w:val="clear" w:color="auto" w:fill="auto"/>
            <w:tcMar>
              <w:top w:w="75" w:type="dxa"/>
              <w:left w:w="53" w:type="dxa"/>
              <w:bottom w:w="30" w:type="dxa"/>
              <w:right w:w="53" w:type="dxa"/>
            </w:tcMar>
            <w:vAlign w:val="bottom"/>
          </w:tcPr>
          <w:p w14:paraId="0D110A54" w14:textId="77777777" w:rsidR="00F9392A" w:rsidRDefault="000F0826">
            <w:pPr>
              <w:spacing w:line="200" w:lineRule="auto"/>
            </w:pPr>
            <w:r>
              <w:rPr>
                <w:b/>
                <w:sz w:val="16"/>
              </w:rPr>
              <w:t>(in millions of dollars, except per unit data)</w:t>
            </w:r>
          </w:p>
        </w:tc>
        <w:tc>
          <w:tcPr>
            <w:tcW w:w="240" w:type="dxa"/>
            <w:tcBorders>
              <w:top w:val="nil"/>
              <w:left w:val="nil"/>
              <w:bottom w:val="nil"/>
              <w:right w:val="nil"/>
            </w:tcBorders>
            <w:shd w:val="clear" w:color="auto" w:fill="auto"/>
            <w:tcMar>
              <w:top w:w="0" w:type="dxa"/>
              <w:left w:w="0" w:type="dxa"/>
              <w:bottom w:w="0" w:type="dxa"/>
              <w:right w:w="0" w:type="dxa"/>
            </w:tcMar>
            <w:vAlign w:val="bottom"/>
          </w:tcPr>
          <w:p w14:paraId="61C5E0DD" w14:textId="77777777" w:rsidR="00F9392A" w:rsidRDefault="00F9392A"/>
        </w:tc>
        <w:tc>
          <w:tcPr>
            <w:tcW w:w="1755"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14:paraId="7F506426" w14:textId="77777777" w:rsidR="00F9392A" w:rsidRDefault="000F0826">
            <w:pPr>
              <w:spacing w:line="200" w:lineRule="auto"/>
              <w:jc w:val="center"/>
            </w:pPr>
            <w:r>
              <w:rPr>
                <w:b/>
                <w:sz w:val="16"/>
              </w:rPr>
              <w:t>June 30, 2019</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14:paraId="4A1EF081" w14:textId="77777777" w:rsidR="00F9392A" w:rsidRDefault="00F9392A"/>
        </w:tc>
        <w:tc>
          <w:tcPr>
            <w:tcW w:w="1800"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14:paraId="1FFD5184" w14:textId="77777777" w:rsidR="00F9392A" w:rsidRDefault="000F0826">
            <w:pPr>
              <w:spacing w:line="200" w:lineRule="auto"/>
              <w:jc w:val="center"/>
            </w:pPr>
            <w:r>
              <w:rPr>
                <w:b/>
                <w:sz w:val="16"/>
              </w:rPr>
              <w:t>March 31, 2019</w:t>
            </w:r>
          </w:p>
        </w:tc>
      </w:tr>
      <w:tr w:rsidR="00F9392A" w14:paraId="42AFDEE5" w14:textId="77777777">
        <w:trPr>
          <w:trHeight w:hRule="exact" w:val="30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5E91FF72" w14:textId="77777777" w:rsidR="00F9392A" w:rsidRDefault="000F0826">
            <w:pPr>
              <w:widowControl w:val="0"/>
              <w:spacing w:line="200" w:lineRule="auto"/>
            </w:pPr>
            <w:r>
              <w:rPr>
                <w:b/>
                <w:sz w:val="20"/>
              </w:rPr>
              <w:t>Revenue</w:t>
            </w:r>
            <w:r>
              <w:rPr>
                <w:b/>
                <w:sz w:val="20"/>
                <w:vertAlign w:val="superscript"/>
              </w:rPr>
              <w:t xml:space="preserve"> (1)</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2201916E" w14:textId="77777777" w:rsidR="00F9392A" w:rsidRDefault="00F9392A"/>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134FAB5" w14:textId="77777777" w:rsidR="00F9392A" w:rsidRDefault="000F0826">
            <w:pPr>
              <w:spacing w:line="200" w:lineRule="auto"/>
            </w:pPr>
            <w:r>
              <w:rPr>
                <w:sz w:val="20"/>
              </w:rPr>
              <w:t>$</w:t>
            </w:r>
          </w:p>
        </w:tc>
        <w:tc>
          <w:tcPr>
            <w:tcW w:w="16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882D21C" w14:textId="77777777" w:rsidR="00F9392A" w:rsidRDefault="000F0826">
            <w:pPr>
              <w:spacing w:line="200" w:lineRule="auto"/>
              <w:jc w:val="right"/>
            </w:pPr>
            <w:r>
              <w:rPr>
                <w:sz w:val="20"/>
              </w:rPr>
              <w:t>121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C36CA4" w14:textId="77777777" w:rsidR="00F9392A" w:rsidRDefault="00F9392A"/>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D2B9BB5" w14:textId="77777777" w:rsidR="00F9392A" w:rsidRDefault="000F0826">
            <w:pPr>
              <w:spacing w:line="200" w:lineRule="auto"/>
            </w:pPr>
            <w:r>
              <w:rPr>
                <w:sz w:val="20"/>
              </w:rPr>
              <w:t>$</w:t>
            </w:r>
          </w:p>
        </w:tc>
        <w:tc>
          <w:tcPr>
            <w:tcW w:w="17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D013736" w14:textId="77777777" w:rsidR="00F9392A" w:rsidRDefault="000F0826">
            <w:pPr>
              <w:spacing w:line="200" w:lineRule="auto"/>
              <w:jc w:val="right"/>
            </w:pPr>
            <w:r>
              <w:rPr>
                <w:sz w:val="20"/>
              </w:rPr>
              <w:t>131</w:t>
            </w:r>
          </w:p>
        </w:tc>
      </w:tr>
      <w:tr w:rsidR="00F9392A" w14:paraId="2E3D53CA" w14:textId="77777777">
        <w:trPr>
          <w:trHeight w:hRule="exact" w:val="30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7006CD95" w14:textId="77777777" w:rsidR="00F9392A" w:rsidRDefault="000F0826">
            <w:pPr>
              <w:spacing w:line="200" w:lineRule="auto"/>
            </w:pPr>
            <w:r>
              <w:rPr>
                <w:b/>
                <w:sz w:val="20"/>
              </w:rPr>
              <w:t>Costs and expenses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5009B787" w14:textId="77777777" w:rsidR="00F9392A" w:rsidRDefault="00F9392A"/>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1FD28D30" w14:textId="77777777" w:rsidR="00F9392A" w:rsidRDefault="00F9392A"/>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B7F276D" w14:textId="77777777" w:rsidR="00F9392A" w:rsidRDefault="00F9392A"/>
        </w:tc>
        <w:tc>
          <w:tcPr>
            <w:tcW w:w="1800" w:type="dxa"/>
            <w:gridSpan w:val="2"/>
            <w:tcBorders>
              <w:top w:val="nil"/>
              <w:left w:val="nil"/>
              <w:bottom w:val="nil"/>
              <w:right w:val="nil"/>
            </w:tcBorders>
            <w:shd w:val="clear" w:color="auto" w:fill="FFFFFF"/>
            <w:tcMar>
              <w:top w:w="0" w:type="dxa"/>
              <w:left w:w="0" w:type="dxa"/>
              <w:bottom w:w="0" w:type="dxa"/>
              <w:right w:w="0" w:type="dxa"/>
            </w:tcMar>
            <w:vAlign w:val="bottom"/>
          </w:tcPr>
          <w:p w14:paraId="08187B42" w14:textId="77777777" w:rsidR="00F9392A" w:rsidRDefault="00F9392A"/>
        </w:tc>
      </w:tr>
      <w:tr w:rsidR="00F9392A" w14:paraId="562FC180" w14:textId="77777777">
        <w:trPr>
          <w:trHeight w:hRule="exact" w:val="30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01C44ACC" w14:textId="77777777" w:rsidR="00F9392A" w:rsidRDefault="000F0826">
            <w:pPr>
              <w:spacing w:line="200" w:lineRule="auto"/>
            </w:pPr>
            <w:r>
              <w:rPr>
                <w:sz w:val="20"/>
              </w:rPr>
              <w:t>Operations and maintenance</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6276227D" w14:textId="77777777" w:rsidR="00F9392A" w:rsidRDefault="00F9392A"/>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6915FFF5" w14:textId="77777777" w:rsidR="00F9392A" w:rsidRDefault="000F0826">
            <w:pPr>
              <w:spacing w:line="200" w:lineRule="auto"/>
              <w:jc w:val="right"/>
            </w:pPr>
            <w:r>
              <w:rPr>
                <w:sz w:val="20"/>
              </w:rPr>
              <w:t>32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C095617" w14:textId="77777777" w:rsidR="00F9392A" w:rsidRDefault="00F9392A"/>
        </w:tc>
        <w:tc>
          <w:tcPr>
            <w:tcW w:w="1800" w:type="dxa"/>
            <w:gridSpan w:val="2"/>
            <w:tcBorders>
              <w:top w:val="nil"/>
              <w:left w:val="nil"/>
              <w:bottom w:val="nil"/>
              <w:right w:val="nil"/>
            </w:tcBorders>
            <w:shd w:val="clear" w:color="auto" w:fill="CCEEFF"/>
            <w:tcMar>
              <w:top w:w="0" w:type="dxa"/>
              <w:left w:w="0" w:type="dxa"/>
              <w:bottom w:w="0" w:type="dxa"/>
              <w:right w:w="0" w:type="dxa"/>
            </w:tcMar>
            <w:vAlign w:val="bottom"/>
          </w:tcPr>
          <w:p w14:paraId="5D385C0A" w14:textId="77777777" w:rsidR="00F9392A" w:rsidRDefault="000F0826">
            <w:pPr>
              <w:spacing w:line="200" w:lineRule="auto"/>
              <w:jc w:val="right"/>
            </w:pPr>
            <w:r>
              <w:rPr>
                <w:sz w:val="20"/>
              </w:rPr>
              <w:t>27</w:t>
            </w:r>
          </w:p>
        </w:tc>
      </w:tr>
      <w:tr w:rsidR="00F9392A" w14:paraId="0EB95719" w14:textId="77777777">
        <w:trPr>
          <w:trHeight w:hRule="exact" w:val="30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011F2B7D" w14:textId="77777777" w:rsidR="00F9392A" w:rsidRDefault="000F0826">
            <w:pPr>
              <w:spacing w:line="200" w:lineRule="auto"/>
            </w:pPr>
            <w:r>
              <w:rPr>
                <w:sz w:val="20"/>
              </w:rPr>
              <w:t>Cost of product sold</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23D401AD" w14:textId="77777777" w:rsidR="00F9392A" w:rsidRDefault="00F9392A"/>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17510439" w14:textId="77777777" w:rsidR="00F9392A" w:rsidRDefault="000F0826">
            <w:pPr>
              <w:spacing w:line="200" w:lineRule="auto"/>
              <w:jc w:val="right"/>
            </w:pPr>
            <w:r>
              <w:rPr>
                <w:sz w:val="20"/>
              </w:rPr>
              <w:t>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A1BAA6E" w14:textId="77777777" w:rsidR="00F9392A" w:rsidRDefault="00F9392A"/>
        </w:tc>
        <w:tc>
          <w:tcPr>
            <w:tcW w:w="1800" w:type="dxa"/>
            <w:gridSpan w:val="2"/>
            <w:tcBorders>
              <w:top w:val="nil"/>
              <w:left w:val="nil"/>
              <w:bottom w:val="nil"/>
              <w:right w:val="nil"/>
            </w:tcBorders>
            <w:shd w:val="clear" w:color="auto" w:fill="FFFFFF"/>
            <w:tcMar>
              <w:top w:w="0" w:type="dxa"/>
              <w:left w:w="0" w:type="dxa"/>
              <w:bottom w:w="0" w:type="dxa"/>
              <w:right w:w="0" w:type="dxa"/>
            </w:tcMar>
            <w:vAlign w:val="bottom"/>
          </w:tcPr>
          <w:p w14:paraId="32660422" w14:textId="77777777" w:rsidR="00F9392A" w:rsidRDefault="000F0826">
            <w:pPr>
              <w:spacing w:line="200" w:lineRule="auto"/>
              <w:jc w:val="right"/>
            </w:pPr>
            <w:r>
              <w:rPr>
                <w:sz w:val="20"/>
              </w:rPr>
              <w:t>9</w:t>
            </w:r>
          </w:p>
        </w:tc>
      </w:tr>
      <w:tr w:rsidR="00F9392A" w14:paraId="433BBC16" w14:textId="77777777">
        <w:trPr>
          <w:trHeight w:hRule="exact" w:val="30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774F0187" w14:textId="77777777" w:rsidR="00F9392A" w:rsidRDefault="000F0826">
            <w:pPr>
              <w:spacing w:line="200" w:lineRule="auto"/>
            </w:pPr>
            <w:r>
              <w:rPr>
                <w:sz w:val="20"/>
              </w:rPr>
              <w:t xml:space="preserve">Loss from </w:t>
            </w:r>
            <w:r>
              <w:rPr>
                <w:sz w:val="20"/>
              </w:rPr>
              <w:t>revision of asset retirement obligation</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2CFA9D61" w14:textId="77777777" w:rsidR="00F9392A" w:rsidRDefault="00F9392A"/>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257461BD" w14:textId="77777777" w:rsidR="00F9392A" w:rsidRDefault="000F0826">
            <w:pPr>
              <w:spacing w:line="200" w:lineRule="auto"/>
              <w:jc w:val="right"/>
            </w:pPr>
            <w:r>
              <w:rPr>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CD65EC8" w14:textId="77777777" w:rsidR="00F9392A" w:rsidRDefault="00F9392A"/>
        </w:tc>
        <w:tc>
          <w:tcPr>
            <w:tcW w:w="1800" w:type="dxa"/>
            <w:gridSpan w:val="2"/>
            <w:tcBorders>
              <w:top w:val="nil"/>
              <w:left w:val="nil"/>
              <w:bottom w:val="nil"/>
              <w:right w:val="nil"/>
            </w:tcBorders>
            <w:shd w:val="clear" w:color="auto" w:fill="CCEEFF"/>
            <w:tcMar>
              <w:top w:w="0" w:type="dxa"/>
              <w:left w:w="0" w:type="dxa"/>
              <w:bottom w:w="0" w:type="dxa"/>
              <w:right w:w="0" w:type="dxa"/>
            </w:tcMar>
            <w:vAlign w:val="bottom"/>
          </w:tcPr>
          <w:p w14:paraId="46FF17AA" w14:textId="77777777" w:rsidR="00F9392A" w:rsidRDefault="000F0826">
            <w:pPr>
              <w:spacing w:line="200" w:lineRule="auto"/>
              <w:jc w:val="right"/>
            </w:pPr>
            <w:r>
              <w:rPr>
                <w:sz w:val="20"/>
              </w:rPr>
              <w:t>2</w:t>
            </w:r>
          </w:p>
        </w:tc>
      </w:tr>
      <w:tr w:rsidR="00F9392A" w14:paraId="669780FD" w14:textId="77777777">
        <w:trPr>
          <w:trHeight w:hRule="exact" w:val="30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65AB5DF9" w14:textId="77777777" w:rsidR="00F9392A" w:rsidRDefault="000F0826">
            <w:pPr>
              <w:spacing w:line="200" w:lineRule="auto"/>
            </w:pPr>
            <w:r>
              <w:rPr>
                <w:sz w:val="20"/>
              </w:rPr>
              <w:t>General and administrative</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7A410C52" w14:textId="77777777" w:rsidR="00F9392A" w:rsidRDefault="00F9392A"/>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2C829116" w14:textId="77777777" w:rsidR="00F9392A" w:rsidRDefault="000F0826">
            <w:pPr>
              <w:spacing w:line="200" w:lineRule="auto"/>
              <w:jc w:val="right"/>
            </w:pPr>
            <w:r>
              <w:rPr>
                <w:sz w:val="20"/>
              </w:rPr>
              <w:t>17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804D707" w14:textId="77777777" w:rsidR="00F9392A" w:rsidRDefault="00F9392A"/>
        </w:tc>
        <w:tc>
          <w:tcPr>
            <w:tcW w:w="1800" w:type="dxa"/>
            <w:gridSpan w:val="2"/>
            <w:tcBorders>
              <w:top w:val="nil"/>
              <w:left w:val="nil"/>
              <w:bottom w:val="nil"/>
              <w:right w:val="nil"/>
            </w:tcBorders>
            <w:shd w:val="clear" w:color="auto" w:fill="FFFFFF"/>
            <w:tcMar>
              <w:top w:w="0" w:type="dxa"/>
              <w:left w:w="0" w:type="dxa"/>
              <w:bottom w:w="0" w:type="dxa"/>
              <w:right w:w="0" w:type="dxa"/>
            </w:tcMar>
            <w:vAlign w:val="bottom"/>
          </w:tcPr>
          <w:p w14:paraId="5CB9FFCF" w14:textId="77777777" w:rsidR="00F9392A" w:rsidRDefault="000F0826">
            <w:pPr>
              <w:spacing w:line="200" w:lineRule="auto"/>
              <w:jc w:val="right"/>
            </w:pPr>
            <w:r>
              <w:rPr>
                <w:sz w:val="20"/>
              </w:rPr>
              <w:t>12</w:t>
            </w:r>
          </w:p>
        </w:tc>
      </w:tr>
      <w:tr w:rsidR="00F9392A" w14:paraId="72E32CD7" w14:textId="77777777">
        <w:trPr>
          <w:trHeight w:hRule="exact" w:val="30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5D3C4D1D" w14:textId="77777777" w:rsidR="00F9392A" w:rsidRDefault="000F0826">
            <w:pPr>
              <w:spacing w:line="200" w:lineRule="auto"/>
            </w:pPr>
            <w:r>
              <w:rPr>
                <w:sz w:val="20"/>
              </w:rPr>
              <w:t>Depreciation, amortization and accretion</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6D673E41" w14:textId="77777777" w:rsidR="00F9392A" w:rsidRDefault="00F9392A"/>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2CCC32F5" w14:textId="77777777" w:rsidR="00F9392A" w:rsidRDefault="000F0826">
            <w:pPr>
              <w:spacing w:line="200" w:lineRule="auto"/>
              <w:jc w:val="right"/>
            </w:pPr>
            <w:r>
              <w:rPr>
                <w:sz w:val="20"/>
              </w:rPr>
              <w:t>12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0CBB7D9" w14:textId="77777777" w:rsidR="00F9392A" w:rsidRDefault="00F9392A"/>
        </w:tc>
        <w:tc>
          <w:tcPr>
            <w:tcW w:w="1800" w:type="dxa"/>
            <w:gridSpan w:val="2"/>
            <w:tcBorders>
              <w:top w:val="nil"/>
              <w:left w:val="nil"/>
              <w:bottom w:val="nil"/>
              <w:right w:val="nil"/>
            </w:tcBorders>
            <w:shd w:val="clear" w:color="auto" w:fill="CCEEFF"/>
            <w:tcMar>
              <w:top w:w="0" w:type="dxa"/>
              <w:left w:w="0" w:type="dxa"/>
              <w:bottom w:w="0" w:type="dxa"/>
              <w:right w:w="0" w:type="dxa"/>
            </w:tcMar>
            <w:vAlign w:val="bottom"/>
          </w:tcPr>
          <w:p w14:paraId="1258C751" w14:textId="77777777" w:rsidR="00F9392A" w:rsidRDefault="000F0826">
            <w:pPr>
              <w:spacing w:line="200" w:lineRule="auto"/>
              <w:jc w:val="right"/>
            </w:pPr>
            <w:r>
              <w:rPr>
                <w:sz w:val="20"/>
              </w:rPr>
              <w:t>12</w:t>
            </w:r>
          </w:p>
        </w:tc>
      </w:tr>
      <w:tr w:rsidR="00F9392A" w14:paraId="2EF2724A" w14:textId="77777777">
        <w:trPr>
          <w:trHeight w:hRule="exact" w:val="30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103C19B6" w14:textId="77777777" w:rsidR="00F9392A" w:rsidRDefault="000F0826">
            <w:pPr>
              <w:spacing w:line="200" w:lineRule="auto"/>
            </w:pPr>
            <w:r>
              <w:rPr>
                <w:sz w:val="20"/>
              </w:rPr>
              <w:t>Property and other taxes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6CB31A48" w14:textId="77777777" w:rsidR="00F9392A" w:rsidRDefault="00F9392A"/>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2E041AB8" w14:textId="77777777" w:rsidR="00F9392A" w:rsidRDefault="000F0826">
            <w:pPr>
              <w:spacing w:line="200" w:lineRule="auto"/>
              <w:jc w:val="right"/>
            </w:pPr>
            <w:r>
              <w:rPr>
                <w:sz w:val="20"/>
              </w:rPr>
              <w:t>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E81C14F" w14:textId="77777777" w:rsidR="00F9392A" w:rsidRDefault="00F9392A"/>
        </w:tc>
        <w:tc>
          <w:tcPr>
            <w:tcW w:w="1800" w:type="dxa"/>
            <w:gridSpan w:val="2"/>
            <w:tcBorders>
              <w:top w:val="nil"/>
              <w:left w:val="nil"/>
              <w:bottom w:val="nil"/>
              <w:right w:val="nil"/>
            </w:tcBorders>
            <w:shd w:val="clear" w:color="auto" w:fill="FFFFFF"/>
            <w:tcMar>
              <w:top w:w="0" w:type="dxa"/>
              <w:left w:w="0" w:type="dxa"/>
              <w:bottom w:w="0" w:type="dxa"/>
              <w:right w:w="0" w:type="dxa"/>
            </w:tcMar>
            <w:vAlign w:val="bottom"/>
          </w:tcPr>
          <w:p w14:paraId="02E1E3F2" w14:textId="77777777" w:rsidR="00F9392A" w:rsidRDefault="000F0826">
            <w:pPr>
              <w:spacing w:line="200" w:lineRule="auto"/>
              <w:jc w:val="right"/>
            </w:pPr>
            <w:r>
              <w:rPr>
                <w:sz w:val="20"/>
              </w:rPr>
              <w:t>4</w:t>
            </w:r>
          </w:p>
        </w:tc>
      </w:tr>
      <w:tr w:rsidR="00F9392A" w14:paraId="383E7554" w14:textId="77777777">
        <w:trPr>
          <w:trHeight w:hRule="exact" w:val="300"/>
        </w:trPr>
        <w:tc>
          <w:tcPr>
            <w:tcW w:w="6000" w:type="dxa"/>
            <w:tcBorders>
              <w:top w:val="nil"/>
              <w:left w:val="nil"/>
              <w:bottom w:val="nil"/>
              <w:right w:val="nil"/>
            </w:tcBorders>
            <w:shd w:val="clear" w:color="auto" w:fill="CCEEFF"/>
            <w:tcMar>
              <w:top w:w="75" w:type="dxa"/>
              <w:left w:w="173" w:type="dxa"/>
              <w:bottom w:w="30" w:type="dxa"/>
              <w:right w:w="53" w:type="dxa"/>
            </w:tcMar>
            <w:vAlign w:val="bottom"/>
          </w:tcPr>
          <w:p w14:paraId="26173D47" w14:textId="77777777" w:rsidR="00F9392A" w:rsidRDefault="000F0826">
            <w:pPr>
              <w:spacing w:line="200" w:lineRule="auto"/>
            </w:pPr>
            <w:r>
              <w:rPr>
                <w:sz w:val="20"/>
              </w:rPr>
              <w:t>Total costs and expenses</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6496A6B4" w14:textId="77777777" w:rsidR="00F9392A" w:rsidRDefault="00F9392A"/>
        </w:tc>
        <w:tc>
          <w:tcPr>
            <w:tcW w:w="175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14:paraId="02864666" w14:textId="77777777" w:rsidR="00F9392A" w:rsidRDefault="000F0826">
            <w:pPr>
              <w:spacing w:line="200" w:lineRule="auto"/>
              <w:jc w:val="right"/>
            </w:pPr>
            <w:r>
              <w:rPr>
                <w:sz w:val="20"/>
              </w:rPr>
              <w:t>73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44765F5" w14:textId="77777777" w:rsidR="00F9392A" w:rsidRDefault="00F9392A"/>
        </w:tc>
        <w:tc>
          <w:tcPr>
            <w:tcW w:w="180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14:paraId="721F5CF7" w14:textId="77777777" w:rsidR="00F9392A" w:rsidRDefault="000F0826">
            <w:pPr>
              <w:spacing w:line="200" w:lineRule="auto"/>
              <w:jc w:val="right"/>
            </w:pPr>
            <w:r>
              <w:rPr>
                <w:sz w:val="20"/>
              </w:rPr>
              <w:t>66</w:t>
            </w:r>
          </w:p>
        </w:tc>
      </w:tr>
      <w:tr w:rsidR="00F9392A" w14:paraId="6645749C" w14:textId="77777777">
        <w:trPr>
          <w:trHeight w:hRule="exact" w:val="30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4F27EC42" w14:textId="77777777" w:rsidR="00F9392A" w:rsidRDefault="000F0826">
            <w:pPr>
              <w:spacing w:line="200" w:lineRule="auto"/>
            </w:pPr>
            <w:r>
              <w:rPr>
                <w:b/>
                <w:sz w:val="20"/>
              </w:rPr>
              <w:t>Operating income</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499F8A86" w14:textId="77777777" w:rsidR="00F9392A" w:rsidRDefault="00F9392A"/>
        </w:tc>
        <w:tc>
          <w:tcPr>
            <w:tcW w:w="175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08921BC3" w14:textId="77777777" w:rsidR="00F9392A" w:rsidRDefault="000F0826">
            <w:pPr>
              <w:spacing w:line="200" w:lineRule="auto"/>
              <w:jc w:val="right"/>
            </w:pPr>
            <w:r>
              <w:rPr>
                <w:sz w:val="20"/>
              </w:rPr>
              <w:t>48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83FBC96" w14:textId="77777777" w:rsidR="00F9392A" w:rsidRDefault="00F9392A"/>
        </w:tc>
        <w:tc>
          <w:tcPr>
            <w:tcW w:w="180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7032C1E5" w14:textId="77777777" w:rsidR="00F9392A" w:rsidRDefault="000F0826">
            <w:pPr>
              <w:spacing w:line="200" w:lineRule="auto"/>
              <w:jc w:val="right"/>
            </w:pPr>
            <w:r>
              <w:rPr>
                <w:sz w:val="20"/>
              </w:rPr>
              <w:t>65</w:t>
            </w:r>
          </w:p>
        </w:tc>
      </w:tr>
      <w:tr w:rsidR="00F9392A" w14:paraId="4F931CA2" w14:textId="77777777">
        <w:trPr>
          <w:trHeight w:hRule="exact" w:val="30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11977FC8" w14:textId="77777777" w:rsidR="00F9392A" w:rsidRDefault="000F0826">
            <w:pPr>
              <w:spacing w:line="200" w:lineRule="auto"/>
            </w:pPr>
            <w:r>
              <w:rPr>
                <w:sz w:val="20"/>
              </w:rPr>
              <w:t xml:space="preserve">Income from equity method </w:t>
            </w:r>
            <w:r>
              <w:rPr>
                <w:sz w:val="20"/>
              </w:rPr>
              <w:t>investments</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7C0DDFD6" w14:textId="77777777" w:rsidR="00F9392A" w:rsidRDefault="00F9392A"/>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3B51202F" w14:textId="77777777" w:rsidR="00F9392A" w:rsidRDefault="000F0826">
            <w:pPr>
              <w:spacing w:line="200" w:lineRule="auto"/>
              <w:jc w:val="right"/>
            </w:pPr>
            <w:r>
              <w:rPr>
                <w:sz w:val="20"/>
              </w:rPr>
              <w:t>80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4C8643" w14:textId="77777777" w:rsidR="00F9392A" w:rsidRDefault="00F9392A"/>
        </w:tc>
        <w:tc>
          <w:tcPr>
            <w:tcW w:w="1800" w:type="dxa"/>
            <w:gridSpan w:val="2"/>
            <w:tcBorders>
              <w:top w:val="nil"/>
              <w:left w:val="nil"/>
              <w:bottom w:val="nil"/>
              <w:right w:val="nil"/>
            </w:tcBorders>
            <w:shd w:val="clear" w:color="auto" w:fill="CCEEFF"/>
            <w:tcMar>
              <w:top w:w="0" w:type="dxa"/>
              <w:left w:w="0" w:type="dxa"/>
              <w:bottom w:w="0" w:type="dxa"/>
              <w:right w:w="0" w:type="dxa"/>
            </w:tcMar>
            <w:vAlign w:val="bottom"/>
          </w:tcPr>
          <w:p w14:paraId="3CC7945A" w14:textId="77777777" w:rsidR="00F9392A" w:rsidRDefault="000F0826">
            <w:pPr>
              <w:spacing w:line="200" w:lineRule="auto"/>
              <w:jc w:val="right"/>
            </w:pPr>
            <w:r>
              <w:rPr>
                <w:sz w:val="20"/>
              </w:rPr>
              <w:t>70</w:t>
            </w:r>
          </w:p>
        </w:tc>
      </w:tr>
      <w:tr w:rsidR="00F9392A" w14:paraId="6234D3E5" w14:textId="77777777">
        <w:trPr>
          <w:trHeight w:hRule="exact" w:val="30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59BE47D2" w14:textId="77777777" w:rsidR="00F9392A" w:rsidRDefault="000F0826">
            <w:pPr>
              <w:spacing w:line="200" w:lineRule="auto"/>
            </w:pPr>
            <w:r>
              <w:rPr>
                <w:sz w:val="20"/>
              </w:rPr>
              <w:t>Dividend income from other investments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73D61C60" w14:textId="77777777" w:rsidR="00F9392A" w:rsidRDefault="00F9392A"/>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780B8DF3" w14:textId="77777777" w:rsidR="00F9392A" w:rsidRDefault="000F0826">
            <w:pPr>
              <w:spacing w:line="200" w:lineRule="auto"/>
              <w:jc w:val="right"/>
            </w:pPr>
            <w:r>
              <w:rPr>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E51A5E0" w14:textId="77777777" w:rsidR="00F9392A" w:rsidRDefault="00F9392A"/>
        </w:tc>
        <w:tc>
          <w:tcPr>
            <w:tcW w:w="1800" w:type="dxa"/>
            <w:gridSpan w:val="2"/>
            <w:tcBorders>
              <w:top w:val="nil"/>
              <w:left w:val="nil"/>
              <w:bottom w:val="nil"/>
              <w:right w:val="nil"/>
            </w:tcBorders>
            <w:shd w:val="clear" w:color="auto" w:fill="FFFFFF"/>
            <w:tcMar>
              <w:top w:w="0" w:type="dxa"/>
              <w:left w:w="0" w:type="dxa"/>
              <w:bottom w:w="0" w:type="dxa"/>
              <w:right w:w="0" w:type="dxa"/>
            </w:tcMar>
            <w:vAlign w:val="bottom"/>
          </w:tcPr>
          <w:p w14:paraId="4D55734B" w14:textId="77777777" w:rsidR="00F9392A" w:rsidRDefault="000F0826">
            <w:pPr>
              <w:spacing w:line="200" w:lineRule="auto"/>
              <w:jc w:val="right"/>
            </w:pPr>
            <w:r>
              <w:rPr>
                <w:sz w:val="20"/>
              </w:rPr>
              <w:t>14</w:t>
            </w:r>
          </w:p>
        </w:tc>
      </w:tr>
      <w:tr w:rsidR="00F9392A" w14:paraId="3DD6838A" w14:textId="77777777">
        <w:trPr>
          <w:trHeight w:hRule="exact" w:val="30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1FB1D541" w14:textId="77777777" w:rsidR="00F9392A" w:rsidRDefault="000F0826">
            <w:pPr>
              <w:spacing w:line="200" w:lineRule="auto"/>
            </w:pPr>
            <w:r>
              <w:rPr>
                <w:sz w:val="20"/>
              </w:rPr>
              <w:t>Other income</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044EE905" w14:textId="77777777" w:rsidR="00F9392A" w:rsidRDefault="00F9392A"/>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624E2674" w14:textId="77777777" w:rsidR="00F9392A" w:rsidRDefault="000F0826">
            <w:pPr>
              <w:spacing w:line="200" w:lineRule="auto"/>
              <w:jc w:val="right"/>
            </w:pPr>
            <w:r>
              <w:rPr>
                <w:sz w:val="20"/>
              </w:rPr>
              <w:t>12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B260E79" w14:textId="77777777" w:rsidR="00F9392A" w:rsidRDefault="00F9392A"/>
        </w:tc>
        <w:tc>
          <w:tcPr>
            <w:tcW w:w="1800" w:type="dxa"/>
            <w:gridSpan w:val="2"/>
            <w:tcBorders>
              <w:top w:val="nil"/>
              <w:left w:val="nil"/>
              <w:bottom w:val="nil"/>
              <w:right w:val="nil"/>
            </w:tcBorders>
            <w:shd w:val="clear" w:color="auto" w:fill="CCEEFF"/>
            <w:tcMar>
              <w:top w:w="0" w:type="dxa"/>
              <w:left w:w="0" w:type="dxa"/>
              <w:bottom w:w="0" w:type="dxa"/>
              <w:right w:w="0" w:type="dxa"/>
            </w:tcMar>
            <w:vAlign w:val="bottom"/>
          </w:tcPr>
          <w:p w14:paraId="2E062C19" w14:textId="77777777" w:rsidR="00F9392A" w:rsidRDefault="000F0826">
            <w:pPr>
              <w:spacing w:line="200" w:lineRule="auto"/>
              <w:jc w:val="right"/>
            </w:pPr>
            <w:r>
              <w:rPr>
                <w:sz w:val="20"/>
              </w:rPr>
              <w:t>8</w:t>
            </w:r>
          </w:p>
        </w:tc>
      </w:tr>
      <w:tr w:rsidR="00F9392A" w14:paraId="72953AF5" w14:textId="77777777">
        <w:trPr>
          <w:trHeight w:hRule="exact" w:val="300"/>
        </w:trPr>
        <w:tc>
          <w:tcPr>
            <w:tcW w:w="6000" w:type="dxa"/>
            <w:tcBorders>
              <w:top w:val="nil"/>
              <w:left w:val="nil"/>
              <w:bottom w:val="nil"/>
              <w:right w:val="nil"/>
            </w:tcBorders>
            <w:shd w:val="clear" w:color="auto" w:fill="FFFFFF"/>
            <w:tcMar>
              <w:top w:w="75" w:type="dxa"/>
              <w:left w:w="173" w:type="dxa"/>
              <w:bottom w:w="30" w:type="dxa"/>
              <w:right w:w="53" w:type="dxa"/>
            </w:tcMar>
            <w:vAlign w:val="bottom"/>
          </w:tcPr>
          <w:p w14:paraId="69811168" w14:textId="77777777" w:rsidR="00F9392A" w:rsidRDefault="000F0826">
            <w:pPr>
              <w:spacing w:line="200" w:lineRule="auto"/>
            </w:pPr>
            <w:r>
              <w:rPr>
                <w:sz w:val="20"/>
              </w:rPr>
              <w:t>Investment, dividend and other income</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1785BF8A" w14:textId="77777777" w:rsidR="00F9392A" w:rsidRDefault="00F9392A"/>
        </w:tc>
        <w:tc>
          <w:tcPr>
            <w:tcW w:w="175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0111D52C" w14:textId="77777777" w:rsidR="00F9392A" w:rsidRDefault="000F0826">
            <w:pPr>
              <w:spacing w:line="200" w:lineRule="auto"/>
              <w:jc w:val="right"/>
            </w:pPr>
            <w:r>
              <w:rPr>
                <w:sz w:val="20"/>
              </w:rPr>
              <w:t>92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42BA9C4" w14:textId="77777777" w:rsidR="00F9392A" w:rsidRDefault="00F9392A"/>
        </w:tc>
        <w:tc>
          <w:tcPr>
            <w:tcW w:w="180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3A1C8132" w14:textId="77777777" w:rsidR="00F9392A" w:rsidRDefault="000F0826">
            <w:pPr>
              <w:spacing w:line="200" w:lineRule="auto"/>
              <w:jc w:val="right"/>
            </w:pPr>
            <w:r>
              <w:rPr>
                <w:sz w:val="20"/>
              </w:rPr>
              <w:t>92</w:t>
            </w:r>
          </w:p>
        </w:tc>
      </w:tr>
      <w:tr w:rsidR="00F9392A" w14:paraId="4A1FD313" w14:textId="77777777">
        <w:trPr>
          <w:trHeight w:hRule="exact" w:val="30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6203BECA" w14:textId="77777777" w:rsidR="00F9392A" w:rsidRDefault="000F0826">
            <w:pPr>
              <w:spacing w:line="200" w:lineRule="auto"/>
            </w:pPr>
            <w:r>
              <w:rPr>
                <w:sz w:val="20"/>
              </w:rPr>
              <w:t>Interest expense, net</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44BB39E7" w14:textId="77777777" w:rsidR="00F9392A" w:rsidRDefault="00F9392A"/>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5DA929AF" w14:textId="77777777" w:rsidR="00F9392A" w:rsidRDefault="000F0826">
            <w:pPr>
              <w:spacing w:line="200" w:lineRule="auto"/>
              <w:jc w:val="right"/>
            </w:pPr>
            <w:r>
              <w:rPr>
                <w:sz w:val="20"/>
              </w:rPr>
              <w:t>21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B10574" w14:textId="77777777" w:rsidR="00F9392A" w:rsidRDefault="00F9392A"/>
        </w:tc>
        <w:tc>
          <w:tcPr>
            <w:tcW w:w="1800" w:type="dxa"/>
            <w:gridSpan w:val="2"/>
            <w:tcBorders>
              <w:top w:val="nil"/>
              <w:left w:val="nil"/>
              <w:bottom w:val="nil"/>
              <w:right w:val="nil"/>
            </w:tcBorders>
            <w:shd w:val="clear" w:color="auto" w:fill="CCEEFF"/>
            <w:tcMar>
              <w:top w:w="0" w:type="dxa"/>
              <w:left w:w="0" w:type="dxa"/>
              <w:bottom w:w="0" w:type="dxa"/>
              <w:right w:w="0" w:type="dxa"/>
            </w:tcMar>
            <w:vAlign w:val="bottom"/>
          </w:tcPr>
          <w:p w14:paraId="4B2AF5AD" w14:textId="77777777" w:rsidR="00F9392A" w:rsidRDefault="000F0826">
            <w:pPr>
              <w:spacing w:line="200" w:lineRule="auto"/>
              <w:jc w:val="right"/>
            </w:pPr>
            <w:r>
              <w:rPr>
                <w:sz w:val="20"/>
              </w:rPr>
              <w:t>20</w:t>
            </w:r>
          </w:p>
        </w:tc>
      </w:tr>
      <w:tr w:rsidR="00F9392A" w14:paraId="4DEE9FE9" w14:textId="77777777">
        <w:trPr>
          <w:trHeight w:hRule="exact" w:val="30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41F168F4" w14:textId="77777777" w:rsidR="00F9392A" w:rsidRDefault="000F0826">
            <w:pPr>
              <w:spacing w:line="200" w:lineRule="auto"/>
            </w:pPr>
            <w:r>
              <w:rPr>
                <w:sz w:val="20"/>
              </w:rPr>
              <w:t>Income before income taxes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65542571" w14:textId="77777777" w:rsidR="00F9392A" w:rsidRDefault="00F9392A"/>
        </w:tc>
        <w:tc>
          <w:tcPr>
            <w:tcW w:w="175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682D40DB" w14:textId="77777777" w:rsidR="00F9392A" w:rsidRDefault="000F0826">
            <w:pPr>
              <w:spacing w:line="200" w:lineRule="auto"/>
              <w:jc w:val="right"/>
            </w:pPr>
            <w:r>
              <w:rPr>
                <w:sz w:val="20"/>
              </w:rPr>
              <w:t>119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1E0579" w14:textId="77777777" w:rsidR="00F9392A" w:rsidRDefault="00F9392A"/>
        </w:tc>
        <w:tc>
          <w:tcPr>
            <w:tcW w:w="180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39C4CCB9" w14:textId="77777777" w:rsidR="00F9392A" w:rsidRDefault="000F0826">
            <w:pPr>
              <w:spacing w:line="200" w:lineRule="auto"/>
              <w:jc w:val="right"/>
            </w:pPr>
            <w:r>
              <w:rPr>
                <w:sz w:val="20"/>
              </w:rPr>
              <w:t>137</w:t>
            </w:r>
          </w:p>
        </w:tc>
      </w:tr>
      <w:tr w:rsidR="00F9392A" w14:paraId="19384138" w14:textId="77777777">
        <w:trPr>
          <w:trHeight w:hRule="exact" w:val="30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56798B27" w14:textId="77777777" w:rsidR="00F9392A" w:rsidRDefault="000F0826">
            <w:pPr>
              <w:spacing w:line="200" w:lineRule="auto"/>
            </w:pPr>
            <w:r>
              <w:rPr>
                <w:sz w:val="20"/>
              </w:rPr>
              <w:t>Income tax expense</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0FDC4B63" w14:textId="77777777" w:rsidR="00F9392A" w:rsidRDefault="00F9392A"/>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1144BDE1" w14:textId="77777777" w:rsidR="00F9392A" w:rsidRDefault="000F0826">
            <w:pPr>
              <w:spacing w:line="200" w:lineRule="auto"/>
              <w:jc w:val="right"/>
            </w:pPr>
            <w:r>
              <w:rPr>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5351AF6" w14:textId="77777777" w:rsidR="00F9392A" w:rsidRDefault="00F9392A"/>
        </w:tc>
        <w:tc>
          <w:tcPr>
            <w:tcW w:w="1800" w:type="dxa"/>
            <w:gridSpan w:val="2"/>
            <w:tcBorders>
              <w:top w:val="nil"/>
              <w:left w:val="nil"/>
              <w:bottom w:val="nil"/>
              <w:right w:val="nil"/>
            </w:tcBorders>
            <w:shd w:val="clear" w:color="auto" w:fill="CCEEFF"/>
            <w:tcMar>
              <w:top w:w="0" w:type="dxa"/>
              <w:left w:w="0" w:type="dxa"/>
              <w:bottom w:w="0" w:type="dxa"/>
              <w:right w:w="0" w:type="dxa"/>
            </w:tcMar>
            <w:vAlign w:val="bottom"/>
          </w:tcPr>
          <w:p w14:paraId="31580804" w14:textId="77777777" w:rsidR="00F9392A" w:rsidRDefault="000F0826">
            <w:pPr>
              <w:spacing w:line="200" w:lineRule="auto"/>
              <w:jc w:val="right"/>
            </w:pPr>
            <w:r>
              <w:rPr>
                <w:sz w:val="20"/>
              </w:rPr>
              <w:t>—</w:t>
            </w:r>
          </w:p>
        </w:tc>
      </w:tr>
      <w:tr w:rsidR="00F9392A" w14:paraId="4E42ACF8" w14:textId="77777777">
        <w:trPr>
          <w:trHeight w:hRule="exact" w:val="300"/>
        </w:trPr>
        <w:tc>
          <w:tcPr>
            <w:tcW w:w="6000" w:type="dxa"/>
            <w:tcBorders>
              <w:top w:val="nil"/>
              <w:left w:val="nil"/>
              <w:bottom w:val="nil"/>
              <w:right w:val="nil"/>
            </w:tcBorders>
            <w:shd w:val="clear" w:color="auto" w:fill="FFFFFF"/>
            <w:tcMar>
              <w:top w:w="75" w:type="dxa"/>
              <w:left w:w="173" w:type="dxa"/>
              <w:bottom w:w="30" w:type="dxa"/>
              <w:right w:w="53" w:type="dxa"/>
            </w:tcMar>
            <w:vAlign w:val="bottom"/>
          </w:tcPr>
          <w:p w14:paraId="1E2ACAED" w14:textId="77777777" w:rsidR="00F9392A" w:rsidRDefault="000F0826">
            <w:pPr>
              <w:spacing w:line="200" w:lineRule="auto"/>
            </w:pPr>
            <w:r>
              <w:rPr>
                <w:b/>
                <w:sz w:val="20"/>
              </w:rPr>
              <w:t>Net income</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6AB7A7CF" w14:textId="77777777" w:rsidR="00F9392A" w:rsidRDefault="00F9392A"/>
        </w:tc>
        <w:tc>
          <w:tcPr>
            <w:tcW w:w="175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22AD9581" w14:textId="77777777" w:rsidR="00F9392A" w:rsidRDefault="000F0826">
            <w:pPr>
              <w:spacing w:line="200" w:lineRule="auto"/>
              <w:jc w:val="right"/>
            </w:pPr>
            <w:r>
              <w:rPr>
                <w:sz w:val="20"/>
              </w:rPr>
              <w:t>119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84D3F84" w14:textId="77777777" w:rsidR="00F9392A" w:rsidRDefault="00F9392A"/>
        </w:tc>
        <w:tc>
          <w:tcPr>
            <w:tcW w:w="180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468A99FF" w14:textId="77777777" w:rsidR="00F9392A" w:rsidRDefault="000F0826">
            <w:pPr>
              <w:spacing w:line="200" w:lineRule="auto"/>
              <w:jc w:val="right"/>
            </w:pPr>
            <w:r>
              <w:rPr>
                <w:sz w:val="20"/>
              </w:rPr>
              <w:t>137</w:t>
            </w:r>
          </w:p>
        </w:tc>
      </w:tr>
      <w:tr w:rsidR="00F9392A" w14:paraId="3E91B0CF" w14:textId="77777777">
        <w:trPr>
          <w:trHeight w:hRule="exact" w:val="30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6EF27E0F" w14:textId="77777777" w:rsidR="00F9392A" w:rsidRDefault="000F0826">
            <w:pPr>
              <w:spacing w:line="200" w:lineRule="auto"/>
            </w:pPr>
            <w:r>
              <w:rPr>
                <w:sz w:val="20"/>
              </w:rPr>
              <w:t>Less: Net income attributable to noncontrolling interests</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67DAE8BA" w14:textId="77777777" w:rsidR="00F9392A" w:rsidRDefault="00F9392A"/>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541F1B55" w14:textId="77777777" w:rsidR="00F9392A" w:rsidRDefault="000F0826">
            <w:pPr>
              <w:spacing w:line="200" w:lineRule="auto"/>
              <w:jc w:val="right"/>
            </w:pPr>
            <w:r>
              <w:rPr>
                <w:sz w:val="20"/>
              </w:rPr>
              <w:t>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8687E12" w14:textId="77777777" w:rsidR="00F9392A" w:rsidRDefault="00F9392A"/>
        </w:tc>
        <w:tc>
          <w:tcPr>
            <w:tcW w:w="1800" w:type="dxa"/>
            <w:gridSpan w:val="2"/>
            <w:tcBorders>
              <w:top w:val="nil"/>
              <w:left w:val="nil"/>
              <w:bottom w:val="nil"/>
              <w:right w:val="nil"/>
            </w:tcBorders>
            <w:shd w:val="clear" w:color="auto" w:fill="CCEEFF"/>
            <w:tcMar>
              <w:top w:w="0" w:type="dxa"/>
              <w:left w:w="0" w:type="dxa"/>
              <w:bottom w:w="0" w:type="dxa"/>
              <w:right w:w="0" w:type="dxa"/>
            </w:tcMar>
            <w:vAlign w:val="bottom"/>
          </w:tcPr>
          <w:p w14:paraId="6BB94B7B" w14:textId="77777777" w:rsidR="00F9392A" w:rsidRDefault="000F0826">
            <w:pPr>
              <w:spacing w:line="200" w:lineRule="auto"/>
              <w:jc w:val="right"/>
            </w:pPr>
            <w:r>
              <w:rPr>
                <w:sz w:val="20"/>
              </w:rPr>
              <w:t>5</w:t>
            </w:r>
          </w:p>
        </w:tc>
      </w:tr>
      <w:tr w:rsidR="00F9392A" w14:paraId="06FF6155" w14:textId="77777777">
        <w:trPr>
          <w:trHeight w:hRule="exact" w:val="30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7638CA3D" w14:textId="77777777" w:rsidR="00F9392A" w:rsidRDefault="000F0826">
            <w:pPr>
              <w:spacing w:line="200" w:lineRule="auto"/>
            </w:pPr>
            <w:r>
              <w:rPr>
                <w:sz w:val="20"/>
              </w:rPr>
              <w:t>Net income attributable to the Partnership</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7BB38C94" w14:textId="77777777" w:rsidR="00F9392A" w:rsidRDefault="00F9392A"/>
        </w:tc>
        <w:tc>
          <w:tcPr>
            <w:tcW w:w="1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22504E0" w14:textId="77777777" w:rsidR="00F9392A" w:rsidRDefault="000F0826">
            <w:pPr>
              <w:spacing w:line="200" w:lineRule="auto"/>
            </w:pPr>
            <w:r>
              <w:rPr>
                <w:sz w:val="20"/>
              </w:rPr>
              <w:t>$</w:t>
            </w:r>
          </w:p>
        </w:tc>
        <w:tc>
          <w:tcPr>
            <w:tcW w:w="165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138C9A2" w14:textId="77777777" w:rsidR="00F9392A" w:rsidRDefault="000F0826">
            <w:pPr>
              <w:spacing w:line="200" w:lineRule="auto"/>
              <w:jc w:val="right"/>
            </w:pPr>
            <w:r>
              <w:rPr>
                <w:sz w:val="20"/>
              </w:rPr>
              <w:t>115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A9C37E7" w14:textId="77777777" w:rsidR="00F9392A" w:rsidRDefault="00F9392A"/>
        </w:tc>
        <w:tc>
          <w:tcPr>
            <w:tcW w:w="1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619498C" w14:textId="77777777" w:rsidR="00F9392A" w:rsidRDefault="000F0826">
            <w:pPr>
              <w:spacing w:line="200" w:lineRule="auto"/>
            </w:pPr>
            <w:r>
              <w:rPr>
                <w:sz w:val="20"/>
              </w:rPr>
              <w:t>$</w:t>
            </w:r>
          </w:p>
        </w:tc>
        <w:tc>
          <w:tcPr>
            <w:tcW w:w="17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3275547" w14:textId="77777777" w:rsidR="00F9392A" w:rsidRDefault="000F0826">
            <w:pPr>
              <w:spacing w:line="200" w:lineRule="auto"/>
              <w:jc w:val="right"/>
            </w:pPr>
            <w:r>
              <w:rPr>
                <w:sz w:val="20"/>
              </w:rPr>
              <w:t>132</w:t>
            </w:r>
          </w:p>
        </w:tc>
      </w:tr>
      <w:tr w:rsidR="00F9392A" w14:paraId="68BBEBA0" w14:textId="77777777">
        <w:trPr>
          <w:trHeight w:hRule="exact" w:val="45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0E45B9DF" w14:textId="77777777" w:rsidR="00F9392A" w:rsidRDefault="000F0826">
            <w:pPr>
              <w:spacing w:line="200" w:lineRule="auto"/>
            </w:pPr>
            <w:r>
              <w:rPr>
                <w:sz w:val="20"/>
              </w:rPr>
              <w:t>Less: General partner’s interest in net income attributable to the Partnership</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23F85823" w14:textId="77777777" w:rsidR="00F9392A" w:rsidRDefault="00F9392A"/>
        </w:tc>
        <w:tc>
          <w:tcPr>
            <w:tcW w:w="1755"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14:paraId="0959EC11" w14:textId="77777777" w:rsidR="00F9392A" w:rsidRDefault="000F0826">
            <w:pPr>
              <w:spacing w:line="200" w:lineRule="auto"/>
              <w:jc w:val="right"/>
            </w:pPr>
            <w:r>
              <w:rPr>
                <w:sz w:val="20"/>
              </w:rPr>
              <w:t>30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C2083D" w14:textId="77777777" w:rsidR="00F9392A" w:rsidRDefault="00F9392A"/>
        </w:tc>
        <w:tc>
          <w:tcPr>
            <w:tcW w:w="1800"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14:paraId="03C2F19E" w14:textId="77777777" w:rsidR="00F9392A" w:rsidRDefault="000F0826">
            <w:pPr>
              <w:spacing w:line="200" w:lineRule="auto"/>
              <w:jc w:val="right"/>
            </w:pPr>
            <w:r>
              <w:rPr>
                <w:sz w:val="20"/>
              </w:rPr>
              <w:t>27</w:t>
            </w:r>
          </w:p>
        </w:tc>
      </w:tr>
      <w:tr w:rsidR="00F9392A" w14:paraId="54ED705D" w14:textId="77777777">
        <w:trPr>
          <w:trHeight w:hRule="exact" w:val="48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0C4B3FEE" w14:textId="77777777" w:rsidR="00F9392A" w:rsidRDefault="000F0826">
            <w:pPr>
              <w:spacing w:line="200" w:lineRule="auto"/>
            </w:pPr>
            <w:r>
              <w:rPr>
                <w:b/>
                <w:sz w:val="20"/>
              </w:rPr>
              <w:t xml:space="preserve">Limited Partners’ interest in net </w:t>
            </w:r>
            <w:r>
              <w:rPr>
                <w:b/>
                <w:sz w:val="20"/>
              </w:rPr>
              <w:t>income attributable to the Partnership</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3DE04908" w14:textId="77777777" w:rsidR="00F9392A" w:rsidRDefault="00F9392A"/>
        </w:tc>
        <w:tc>
          <w:tcPr>
            <w:tcW w:w="1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605E7AE4" w14:textId="77777777" w:rsidR="00F9392A" w:rsidRDefault="000F0826">
            <w:pPr>
              <w:spacing w:line="200" w:lineRule="auto"/>
            </w:pPr>
            <w:r>
              <w:rPr>
                <w:sz w:val="20"/>
              </w:rPr>
              <w:t>$</w:t>
            </w:r>
          </w:p>
        </w:tc>
        <w:tc>
          <w:tcPr>
            <w:tcW w:w="165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239D6581" w14:textId="77777777" w:rsidR="00F9392A" w:rsidRDefault="000F0826">
            <w:pPr>
              <w:spacing w:line="200" w:lineRule="auto"/>
              <w:jc w:val="right"/>
            </w:pPr>
            <w:r>
              <w:rPr>
                <w:sz w:val="20"/>
              </w:rPr>
              <w:t>85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84BD62F" w14:textId="77777777" w:rsidR="00F9392A" w:rsidRDefault="00F9392A"/>
        </w:tc>
        <w:tc>
          <w:tcPr>
            <w:tcW w:w="1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4064BE7D" w14:textId="77777777" w:rsidR="00F9392A" w:rsidRDefault="000F0826">
            <w:pPr>
              <w:spacing w:line="200" w:lineRule="auto"/>
            </w:pPr>
            <w:r>
              <w:rPr>
                <w:sz w:val="20"/>
              </w:rPr>
              <w:t>$</w:t>
            </w:r>
          </w:p>
        </w:tc>
        <w:tc>
          <w:tcPr>
            <w:tcW w:w="17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73EC8D16" w14:textId="77777777" w:rsidR="00F9392A" w:rsidRDefault="000F0826">
            <w:pPr>
              <w:spacing w:line="200" w:lineRule="auto"/>
              <w:jc w:val="right"/>
            </w:pPr>
            <w:r>
              <w:rPr>
                <w:sz w:val="20"/>
              </w:rPr>
              <w:t>105</w:t>
            </w:r>
          </w:p>
        </w:tc>
      </w:tr>
      <w:tr w:rsidR="00F9392A" w14:paraId="0C5BABFD" w14:textId="77777777">
        <w:trPr>
          <w:trHeight w:hRule="exact" w:val="300"/>
        </w:trPr>
        <w:tc>
          <w:tcPr>
            <w:tcW w:w="6000" w:type="dxa"/>
            <w:tcBorders>
              <w:top w:val="nil"/>
              <w:left w:val="nil"/>
              <w:bottom w:val="nil"/>
              <w:right w:val="nil"/>
            </w:tcBorders>
            <w:shd w:val="clear" w:color="auto" w:fill="CCEEFF"/>
            <w:tcMar>
              <w:top w:w="0" w:type="dxa"/>
              <w:left w:w="0" w:type="dxa"/>
              <w:bottom w:w="0" w:type="dxa"/>
              <w:right w:w="0" w:type="dxa"/>
            </w:tcMar>
            <w:vAlign w:val="bottom"/>
          </w:tcPr>
          <w:p w14:paraId="33FC84DD" w14:textId="77777777" w:rsidR="00F9392A" w:rsidRDefault="00F9392A"/>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7981ED65" w14:textId="77777777" w:rsidR="00F9392A" w:rsidRDefault="00F9392A"/>
        </w:tc>
        <w:tc>
          <w:tcPr>
            <w:tcW w:w="1755"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14:paraId="087D371A" w14:textId="77777777" w:rsidR="00F9392A" w:rsidRDefault="00F9392A"/>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6B79A37" w14:textId="77777777" w:rsidR="00F9392A" w:rsidRDefault="00F9392A"/>
        </w:tc>
        <w:tc>
          <w:tcPr>
            <w:tcW w:w="1800"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14:paraId="0CA40B8C" w14:textId="77777777" w:rsidR="00F9392A" w:rsidRDefault="00F9392A"/>
        </w:tc>
      </w:tr>
      <w:tr w:rsidR="00F9392A" w14:paraId="286226A6" w14:textId="77777777">
        <w:trPr>
          <w:trHeight w:hRule="exact" w:val="30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33E1D03E" w14:textId="77777777" w:rsidR="00F9392A" w:rsidRDefault="000F0826">
            <w:pPr>
              <w:spacing w:line="200" w:lineRule="auto"/>
            </w:pPr>
            <w:r>
              <w:rPr>
                <w:sz w:val="20"/>
              </w:rPr>
              <w:t>Net income per Limited Partner Unit – Basic and Diluted:</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78FEB15D" w14:textId="77777777" w:rsidR="00F9392A" w:rsidRDefault="00F9392A"/>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5DE72AA1" w14:textId="77777777" w:rsidR="00F9392A" w:rsidRDefault="00F9392A"/>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85B476C" w14:textId="77777777" w:rsidR="00F9392A" w:rsidRDefault="00F9392A"/>
        </w:tc>
        <w:tc>
          <w:tcPr>
            <w:tcW w:w="1800" w:type="dxa"/>
            <w:gridSpan w:val="2"/>
            <w:tcBorders>
              <w:top w:val="nil"/>
              <w:left w:val="nil"/>
              <w:bottom w:val="nil"/>
              <w:right w:val="nil"/>
            </w:tcBorders>
            <w:shd w:val="clear" w:color="auto" w:fill="FFFFFF"/>
            <w:tcMar>
              <w:top w:w="0" w:type="dxa"/>
              <w:left w:w="0" w:type="dxa"/>
              <w:bottom w:w="0" w:type="dxa"/>
              <w:right w:w="0" w:type="dxa"/>
            </w:tcMar>
            <w:vAlign w:val="bottom"/>
          </w:tcPr>
          <w:p w14:paraId="30CFA10C" w14:textId="77777777" w:rsidR="00F9392A" w:rsidRDefault="00F9392A"/>
        </w:tc>
      </w:tr>
      <w:tr w:rsidR="00F9392A" w14:paraId="6BE23A32" w14:textId="77777777">
        <w:trPr>
          <w:trHeight w:hRule="exact" w:val="30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58716740" w14:textId="77777777" w:rsidR="00F9392A" w:rsidRDefault="000F0826">
            <w:pPr>
              <w:spacing w:line="200" w:lineRule="auto"/>
            </w:pPr>
            <w:r>
              <w:rPr>
                <w:sz w:val="20"/>
              </w:rPr>
              <w:t>Common</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1192DDE4" w14:textId="77777777" w:rsidR="00F9392A" w:rsidRDefault="00F9392A"/>
        </w:tc>
        <w:tc>
          <w:tcPr>
            <w:tcW w:w="100" w:type="dxa"/>
            <w:tcBorders>
              <w:top w:val="nil"/>
              <w:left w:val="nil"/>
              <w:bottom w:val="nil"/>
              <w:right w:val="nil"/>
            </w:tcBorders>
            <w:shd w:val="clear" w:color="auto" w:fill="CCEEFF"/>
            <w:tcMar>
              <w:top w:w="0" w:type="dxa"/>
              <w:left w:w="0" w:type="dxa"/>
              <w:bottom w:w="0" w:type="dxa"/>
              <w:right w:w="0" w:type="dxa"/>
            </w:tcMar>
            <w:vAlign w:val="bottom"/>
          </w:tcPr>
          <w:p w14:paraId="4A572CEC" w14:textId="77777777" w:rsidR="00F9392A" w:rsidRDefault="000F0826">
            <w:pPr>
              <w:spacing w:line="200" w:lineRule="auto"/>
            </w:pPr>
            <w:r>
              <w:rPr>
                <w:sz w:val="20"/>
              </w:rPr>
              <w:t>$</w:t>
            </w:r>
          </w:p>
        </w:tc>
        <w:tc>
          <w:tcPr>
            <w:tcW w:w="1655" w:type="dxa"/>
            <w:tcBorders>
              <w:top w:val="nil"/>
              <w:left w:val="nil"/>
              <w:bottom w:val="nil"/>
              <w:right w:val="nil"/>
            </w:tcBorders>
            <w:shd w:val="clear" w:color="auto" w:fill="CCEEFF"/>
            <w:tcMar>
              <w:top w:w="0" w:type="dxa"/>
              <w:left w:w="0" w:type="dxa"/>
              <w:bottom w:w="0" w:type="dxa"/>
              <w:right w:w="0" w:type="dxa"/>
            </w:tcMar>
            <w:vAlign w:val="bottom"/>
          </w:tcPr>
          <w:p w14:paraId="0D634350" w14:textId="77777777" w:rsidR="00F9392A" w:rsidRDefault="000F0826">
            <w:pPr>
              <w:spacing w:line="200" w:lineRule="auto"/>
              <w:jc w:val="right"/>
            </w:pPr>
            <w:r>
              <w:rPr>
                <w:sz w:val="20"/>
              </w:rPr>
              <w:t>0.38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41A04EB" w14:textId="77777777" w:rsidR="00F9392A" w:rsidRDefault="00F9392A"/>
        </w:tc>
        <w:tc>
          <w:tcPr>
            <w:tcW w:w="100" w:type="dxa"/>
            <w:tcBorders>
              <w:top w:val="nil"/>
              <w:left w:val="nil"/>
              <w:bottom w:val="nil"/>
              <w:right w:val="nil"/>
            </w:tcBorders>
            <w:shd w:val="clear" w:color="auto" w:fill="CCEEFF"/>
            <w:tcMar>
              <w:top w:w="0" w:type="dxa"/>
              <w:left w:w="0" w:type="dxa"/>
              <w:bottom w:w="0" w:type="dxa"/>
              <w:right w:w="0" w:type="dxa"/>
            </w:tcMar>
            <w:vAlign w:val="bottom"/>
          </w:tcPr>
          <w:p w14:paraId="653B6F54" w14:textId="77777777" w:rsidR="00F9392A" w:rsidRDefault="000F0826">
            <w:pPr>
              <w:spacing w:line="200" w:lineRule="auto"/>
            </w:pPr>
            <w:r>
              <w:rPr>
                <w:sz w:val="20"/>
              </w:rPr>
              <w:t>$</w:t>
            </w:r>
          </w:p>
        </w:tc>
        <w:tc>
          <w:tcPr>
            <w:tcW w:w="1700" w:type="dxa"/>
            <w:tcBorders>
              <w:top w:val="nil"/>
              <w:left w:val="nil"/>
              <w:bottom w:val="nil"/>
              <w:right w:val="nil"/>
            </w:tcBorders>
            <w:shd w:val="clear" w:color="auto" w:fill="CCEEFF"/>
            <w:tcMar>
              <w:top w:w="0" w:type="dxa"/>
              <w:left w:w="0" w:type="dxa"/>
              <w:bottom w:w="0" w:type="dxa"/>
              <w:right w:w="0" w:type="dxa"/>
            </w:tcMar>
            <w:vAlign w:val="bottom"/>
          </w:tcPr>
          <w:p w14:paraId="342AE00E" w14:textId="77777777" w:rsidR="00F9392A" w:rsidRDefault="000F0826">
            <w:pPr>
              <w:spacing w:line="200" w:lineRule="auto"/>
              <w:jc w:val="right"/>
            </w:pPr>
            <w:r>
              <w:rPr>
                <w:sz w:val="20"/>
              </w:rPr>
              <w:t>0.47</w:t>
            </w:r>
          </w:p>
        </w:tc>
      </w:tr>
      <w:tr w:rsidR="00F9392A" w14:paraId="3D3EB212" w14:textId="77777777">
        <w:trPr>
          <w:trHeight w:hRule="exact" w:val="300"/>
        </w:trPr>
        <w:tc>
          <w:tcPr>
            <w:tcW w:w="6000" w:type="dxa"/>
            <w:tcBorders>
              <w:top w:val="nil"/>
              <w:left w:val="nil"/>
              <w:bottom w:val="nil"/>
              <w:right w:val="nil"/>
            </w:tcBorders>
            <w:shd w:val="clear" w:color="auto" w:fill="FFFFFF"/>
            <w:tcMar>
              <w:top w:w="0" w:type="dxa"/>
              <w:left w:w="0" w:type="dxa"/>
              <w:bottom w:w="0" w:type="dxa"/>
              <w:right w:w="0" w:type="dxa"/>
            </w:tcMar>
            <w:vAlign w:val="bottom"/>
          </w:tcPr>
          <w:p w14:paraId="60DF8A72" w14:textId="77777777" w:rsidR="00F9392A" w:rsidRDefault="00F9392A"/>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7ACF2209" w14:textId="77777777" w:rsidR="00F9392A" w:rsidRDefault="00F9392A"/>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77599F50" w14:textId="77777777" w:rsidR="00F9392A" w:rsidRDefault="00F9392A"/>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441BD91" w14:textId="77777777" w:rsidR="00F9392A" w:rsidRDefault="00F9392A"/>
        </w:tc>
        <w:tc>
          <w:tcPr>
            <w:tcW w:w="1800" w:type="dxa"/>
            <w:gridSpan w:val="2"/>
            <w:tcBorders>
              <w:top w:val="nil"/>
              <w:left w:val="nil"/>
              <w:bottom w:val="nil"/>
              <w:right w:val="nil"/>
            </w:tcBorders>
            <w:shd w:val="clear" w:color="auto" w:fill="FFFFFF"/>
            <w:tcMar>
              <w:top w:w="0" w:type="dxa"/>
              <w:left w:w="0" w:type="dxa"/>
              <w:bottom w:w="0" w:type="dxa"/>
              <w:right w:w="0" w:type="dxa"/>
            </w:tcMar>
            <w:vAlign w:val="bottom"/>
          </w:tcPr>
          <w:p w14:paraId="2912471B" w14:textId="77777777" w:rsidR="00F9392A" w:rsidRDefault="00F9392A"/>
        </w:tc>
      </w:tr>
      <w:tr w:rsidR="00F9392A" w14:paraId="3587D548" w14:textId="77777777">
        <w:trPr>
          <w:trHeight w:hRule="exact" w:val="45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29423F85" w14:textId="77777777" w:rsidR="00F9392A" w:rsidRDefault="000F0826">
            <w:pPr>
              <w:spacing w:line="200" w:lineRule="auto"/>
            </w:pPr>
            <w:r>
              <w:rPr>
                <w:sz w:val="20"/>
              </w:rPr>
              <w:t>Weighted average Limited Partner Units outstanding – Basic and Diluted:</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6D8BA921" w14:textId="77777777" w:rsidR="00F9392A" w:rsidRDefault="00F9392A"/>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21E452B2" w14:textId="77777777" w:rsidR="00F9392A" w:rsidRDefault="00F9392A"/>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F454C4E" w14:textId="77777777" w:rsidR="00F9392A" w:rsidRDefault="00F9392A"/>
        </w:tc>
        <w:tc>
          <w:tcPr>
            <w:tcW w:w="1800" w:type="dxa"/>
            <w:gridSpan w:val="2"/>
            <w:tcBorders>
              <w:top w:val="nil"/>
              <w:left w:val="nil"/>
              <w:bottom w:val="nil"/>
              <w:right w:val="nil"/>
            </w:tcBorders>
            <w:shd w:val="clear" w:color="auto" w:fill="CCEEFF"/>
            <w:tcMar>
              <w:top w:w="0" w:type="dxa"/>
              <w:left w:w="0" w:type="dxa"/>
              <w:bottom w:w="0" w:type="dxa"/>
              <w:right w:w="0" w:type="dxa"/>
            </w:tcMar>
            <w:vAlign w:val="bottom"/>
          </w:tcPr>
          <w:p w14:paraId="308D3DC7" w14:textId="77777777" w:rsidR="00F9392A" w:rsidRDefault="00F9392A"/>
        </w:tc>
      </w:tr>
      <w:tr w:rsidR="00F9392A" w14:paraId="0C15F8E1" w14:textId="77777777">
        <w:trPr>
          <w:trHeight w:hRule="exact" w:val="300"/>
        </w:trPr>
        <w:tc>
          <w:tcPr>
            <w:tcW w:w="6000" w:type="dxa"/>
            <w:tcBorders>
              <w:top w:val="nil"/>
              <w:left w:val="nil"/>
              <w:bottom w:val="nil"/>
              <w:right w:val="nil"/>
            </w:tcBorders>
            <w:shd w:val="clear" w:color="auto" w:fill="FFFFFF"/>
            <w:tcMar>
              <w:top w:w="75" w:type="dxa"/>
              <w:left w:w="53" w:type="dxa"/>
              <w:bottom w:w="30" w:type="dxa"/>
              <w:right w:w="53" w:type="dxa"/>
            </w:tcMar>
            <w:vAlign w:val="bottom"/>
          </w:tcPr>
          <w:p w14:paraId="370E0AC4" w14:textId="77777777" w:rsidR="00F9392A" w:rsidRDefault="000F0826">
            <w:pPr>
              <w:spacing w:line="200" w:lineRule="auto"/>
            </w:pPr>
            <w:r>
              <w:rPr>
                <w:sz w:val="20"/>
              </w:rPr>
              <w:t>Common units – public</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30BFD25A" w14:textId="77777777" w:rsidR="00F9392A" w:rsidRDefault="00F9392A"/>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49F595AB" w14:textId="77777777" w:rsidR="00F9392A" w:rsidRDefault="000F0826">
            <w:pPr>
              <w:spacing w:line="200" w:lineRule="auto"/>
              <w:jc w:val="right"/>
            </w:pPr>
            <w:r>
              <w:rPr>
                <w:sz w:val="20"/>
              </w:rPr>
              <w:t>123.8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D7BAC31" w14:textId="77777777" w:rsidR="00F9392A" w:rsidRDefault="00F9392A"/>
        </w:tc>
        <w:tc>
          <w:tcPr>
            <w:tcW w:w="1800" w:type="dxa"/>
            <w:gridSpan w:val="2"/>
            <w:tcBorders>
              <w:top w:val="nil"/>
              <w:left w:val="nil"/>
              <w:bottom w:val="nil"/>
              <w:right w:val="nil"/>
            </w:tcBorders>
            <w:shd w:val="clear" w:color="auto" w:fill="FFFFFF"/>
            <w:tcMar>
              <w:top w:w="0" w:type="dxa"/>
              <w:left w:w="0" w:type="dxa"/>
              <w:bottom w:w="0" w:type="dxa"/>
              <w:right w:w="0" w:type="dxa"/>
            </w:tcMar>
            <w:vAlign w:val="bottom"/>
          </w:tcPr>
          <w:p w14:paraId="3C89C34B" w14:textId="77777777" w:rsidR="00F9392A" w:rsidRDefault="000F0826">
            <w:pPr>
              <w:spacing w:line="200" w:lineRule="auto"/>
              <w:jc w:val="right"/>
            </w:pPr>
            <w:r>
              <w:rPr>
                <w:sz w:val="20"/>
              </w:rPr>
              <w:t>123.8</w:t>
            </w:r>
          </w:p>
        </w:tc>
      </w:tr>
      <w:tr w:rsidR="00F9392A" w14:paraId="20833EA3" w14:textId="77777777">
        <w:trPr>
          <w:trHeight w:hRule="exact" w:val="300"/>
        </w:trPr>
        <w:tc>
          <w:tcPr>
            <w:tcW w:w="6000" w:type="dxa"/>
            <w:tcBorders>
              <w:top w:val="nil"/>
              <w:left w:val="nil"/>
              <w:bottom w:val="nil"/>
              <w:right w:val="nil"/>
            </w:tcBorders>
            <w:shd w:val="clear" w:color="auto" w:fill="CCEEFF"/>
            <w:tcMar>
              <w:top w:w="75" w:type="dxa"/>
              <w:left w:w="53" w:type="dxa"/>
              <w:bottom w:w="30" w:type="dxa"/>
              <w:right w:w="53" w:type="dxa"/>
            </w:tcMar>
            <w:vAlign w:val="bottom"/>
          </w:tcPr>
          <w:p w14:paraId="41F9810B" w14:textId="77777777" w:rsidR="00F9392A" w:rsidRDefault="000F0826">
            <w:pPr>
              <w:spacing w:line="200" w:lineRule="auto"/>
            </w:pPr>
            <w:r>
              <w:rPr>
                <w:sz w:val="20"/>
              </w:rPr>
              <w:t>Common units – SPLC</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1BD84A68" w14:textId="77777777" w:rsidR="00F9392A" w:rsidRDefault="00F9392A"/>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53AB2F3A" w14:textId="77777777" w:rsidR="00F9392A" w:rsidRDefault="000F0826">
            <w:pPr>
              <w:spacing w:line="200" w:lineRule="auto"/>
              <w:jc w:val="right"/>
            </w:pPr>
            <w:r>
              <w:rPr>
                <w:sz w:val="20"/>
              </w:rPr>
              <w:t>102.6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93FADCB" w14:textId="77777777" w:rsidR="00F9392A" w:rsidRDefault="00F9392A"/>
        </w:tc>
        <w:tc>
          <w:tcPr>
            <w:tcW w:w="1800" w:type="dxa"/>
            <w:gridSpan w:val="2"/>
            <w:tcBorders>
              <w:top w:val="nil"/>
              <w:left w:val="nil"/>
              <w:bottom w:val="nil"/>
              <w:right w:val="nil"/>
            </w:tcBorders>
            <w:shd w:val="clear" w:color="auto" w:fill="CCEEFF"/>
            <w:tcMar>
              <w:top w:w="0" w:type="dxa"/>
              <w:left w:w="0" w:type="dxa"/>
              <w:bottom w:w="0" w:type="dxa"/>
              <w:right w:w="0" w:type="dxa"/>
            </w:tcMar>
            <w:vAlign w:val="bottom"/>
          </w:tcPr>
          <w:p w14:paraId="4AFB29E6" w14:textId="77777777" w:rsidR="00F9392A" w:rsidRDefault="000F0826">
            <w:pPr>
              <w:spacing w:line="200" w:lineRule="auto"/>
              <w:jc w:val="right"/>
            </w:pPr>
            <w:r>
              <w:rPr>
                <w:sz w:val="20"/>
              </w:rPr>
              <w:t>100.0</w:t>
            </w:r>
          </w:p>
        </w:tc>
      </w:tr>
    </w:tbl>
    <w:p w14:paraId="6606C423" w14:textId="77777777" w:rsidR="00F9392A" w:rsidRDefault="000F0826">
      <w:pPr>
        <w:keepNext/>
        <w:spacing w:before="120"/>
        <w:ind w:left="180" w:hanging="270"/>
      </w:pPr>
      <w:r>
        <w:rPr>
          <w:color w:val="000000"/>
          <w:sz w:val="18"/>
        </w:rPr>
        <w:t> </w:t>
      </w:r>
      <w:r>
        <w:rPr>
          <w:i/>
          <w:color w:val="000000"/>
          <w:sz w:val="18"/>
          <w:vertAlign w:val="superscript"/>
        </w:rPr>
        <w:t>(1)</w:t>
      </w:r>
      <w:r>
        <w:rPr>
          <w:i/>
          <w:color w:val="000000"/>
          <w:sz w:val="18"/>
        </w:rPr>
        <w:t xml:space="preserve"> Deferred revenue for the three months ended June 30, 2019 and March 31, 2019, including the impact of </w:t>
      </w:r>
      <w:proofErr w:type="spellStart"/>
      <w:r>
        <w:rPr>
          <w:i/>
          <w:color w:val="000000"/>
          <w:sz w:val="18"/>
        </w:rPr>
        <w:t>overshipments</w:t>
      </w:r>
      <w:proofErr w:type="spellEnd"/>
      <w:r>
        <w:rPr>
          <w:i/>
          <w:color w:val="000000"/>
          <w:sz w:val="18"/>
        </w:rPr>
        <w:t xml:space="preserve"> and expiring credits, was $1 million and $10</w:t>
      </w:r>
      <w:r>
        <w:rPr>
          <w:i/>
          <w:color w:val="000000"/>
          <w:sz w:val="18"/>
        </w:rPr>
        <w:t xml:space="preserve"> million, respectively.  </w:t>
      </w:r>
    </w:p>
    <w:p w14:paraId="2C9F5326" w14:textId="77777777" w:rsidR="00F9392A" w:rsidRDefault="00F9392A">
      <w:pPr>
        <w:ind w:left="180" w:hanging="180"/>
      </w:pPr>
    </w:p>
    <w:p w14:paraId="7745A9E0" w14:textId="77777777" w:rsidR="00F9392A" w:rsidRDefault="00F9392A"/>
    <w:p w14:paraId="4692E4BF" w14:textId="77777777" w:rsidR="00F9392A" w:rsidRDefault="00F9392A"/>
    <w:p w14:paraId="0C5E3C4C" w14:textId="77777777" w:rsidR="00F9392A" w:rsidRDefault="00F9392A"/>
    <w:p w14:paraId="163BD8F9" w14:textId="77777777" w:rsidR="00F9392A" w:rsidRDefault="00F9392A"/>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5"/>
        <w:gridCol w:w="74"/>
        <w:gridCol w:w="100"/>
        <w:gridCol w:w="1643"/>
        <w:gridCol w:w="74"/>
        <w:gridCol w:w="100"/>
        <w:gridCol w:w="1584"/>
      </w:tblGrid>
      <w:tr w:rsidR="00F9392A" w14:paraId="35C93FE9" w14:textId="77777777">
        <w:trPr>
          <w:trHeight w:hRule="exact" w:val="315"/>
          <w:jc w:val="center"/>
        </w:trPr>
        <w:tc>
          <w:tcPr>
            <w:tcW w:w="9525" w:type="dxa"/>
            <w:gridSpan w:val="7"/>
            <w:tcBorders>
              <w:top w:val="nil"/>
              <w:left w:val="nil"/>
              <w:bottom w:val="nil"/>
              <w:right w:val="nil"/>
            </w:tcBorders>
            <w:shd w:val="clear" w:color="auto" w:fill="auto"/>
            <w:tcMar>
              <w:top w:w="75" w:type="dxa"/>
              <w:left w:w="53" w:type="dxa"/>
              <w:bottom w:w="30" w:type="dxa"/>
              <w:right w:w="53" w:type="dxa"/>
            </w:tcMar>
            <w:vAlign w:val="bottom"/>
          </w:tcPr>
          <w:p w14:paraId="10FF8620" w14:textId="77777777" w:rsidR="00F9392A" w:rsidRDefault="000F0826">
            <w:pPr>
              <w:spacing w:line="200" w:lineRule="auto"/>
            </w:pPr>
            <w:r>
              <w:rPr>
                <w:b/>
                <w:sz w:val="22"/>
              </w:rPr>
              <w:t>Reconciliation of Adjusted EBITDA and Cash Available for Distribution to Net Income</w:t>
            </w:r>
          </w:p>
        </w:tc>
      </w:tr>
      <w:tr w:rsidR="00F9392A" w14:paraId="1AAAC08B" w14:textId="77777777">
        <w:trPr>
          <w:trHeight w:hRule="exact" w:val="255"/>
          <w:jc w:val="center"/>
        </w:trPr>
        <w:tc>
          <w:tcPr>
            <w:tcW w:w="5925" w:type="dxa"/>
            <w:tcBorders>
              <w:top w:val="nil"/>
              <w:left w:val="nil"/>
              <w:bottom w:val="nil"/>
              <w:right w:val="nil"/>
            </w:tcBorders>
            <w:shd w:val="clear" w:color="auto" w:fill="auto"/>
            <w:tcMar>
              <w:top w:w="0" w:type="dxa"/>
              <w:left w:w="0" w:type="dxa"/>
              <w:bottom w:w="0" w:type="dxa"/>
              <w:right w:w="0" w:type="dxa"/>
            </w:tcMar>
            <w:vAlign w:val="bottom"/>
          </w:tcPr>
          <w:p w14:paraId="04A58FA9" w14:textId="77777777" w:rsidR="00F9392A" w:rsidRDefault="00F9392A"/>
        </w:tc>
        <w:tc>
          <w:tcPr>
            <w:tcW w:w="75" w:type="dxa"/>
            <w:tcBorders>
              <w:top w:val="nil"/>
              <w:left w:val="nil"/>
              <w:bottom w:val="nil"/>
              <w:right w:val="nil"/>
            </w:tcBorders>
            <w:shd w:val="clear" w:color="auto" w:fill="auto"/>
            <w:tcMar>
              <w:top w:w="0" w:type="dxa"/>
              <w:left w:w="0" w:type="dxa"/>
              <w:bottom w:w="0" w:type="dxa"/>
              <w:right w:w="0" w:type="dxa"/>
            </w:tcMar>
            <w:vAlign w:val="bottom"/>
          </w:tcPr>
          <w:p w14:paraId="5E84FAD8" w14:textId="77777777" w:rsidR="00F9392A" w:rsidRDefault="00F9392A"/>
        </w:tc>
        <w:tc>
          <w:tcPr>
            <w:tcW w:w="3525" w:type="dxa"/>
            <w:gridSpan w:val="5"/>
            <w:tcBorders>
              <w:top w:val="nil"/>
              <w:left w:val="nil"/>
              <w:bottom w:val="nil"/>
              <w:right w:val="nil"/>
            </w:tcBorders>
            <w:shd w:val="clear" w:color="auto" w:fill="auto"/>
            <w:tcMar>
              <w:top w:w="75" w:type="dxa"/>
              <w:left w:w="53" w:type="dxa"/>
              <w:bottom w:w="30" w:type="dxa"/>
              <w:right w:w="53" w:type="dxa"/>
            </w:tcMar>
            <w:vAlign w:val="bottom"/>
          </w:tcPr>
          <w:p w14:paraId="2E981001" w14:textId="77777777" w:rsidR="00F9392A" w:rsidRDefault="000F0826">
            <w:pPr>
              <w:spacing w:line="200" w:lineRule="auto"/>
              <w:jc w:val="center"/>
            </w:pPr>
            <w:r>
              <w:rPr>
                <w:b/>
                <w:sz w:val="16"/>
              </w:rPr>
              <w:t>For the Three Months Ended</w:t>
            </w:r>
          </w:p>
        </w:tc>
      </w:tr>
      <w:tr w:rsidR="00F9392A" w14:paraId="2EBEBD0B" w14:textId="77777777">
        <w:trPr>
          <w:trHeight w:hRule="exact" w:val="255"/>
          <w:jc w:val="center"/>
        </w:trPr>
        <w:tc>
          <w:tcPr>
            <w:tcW w:w="5925" w:type="dxa"/>
            <w:tcBorders>
              <w:top w:val="nil"/>
              <w:left w:val="nil"/>
              <w:bottom w:val="nil"/>
              <w:right w:val="nil"/>
            </w:tcBorders>
            <w:shd w:val="clear" w:color="auto" w:fill="auto"/>
            <w:tcMar>
              <w:top w:w="75" w:type="dxa"/>
              <w:left w:w="53" w:type="dxa"/>
              <w:bottom w:w="30" w:type="dxa"/>
              <w:right w:w="53" w:type="dxa"/>
            </w:tcMar>
            <w:vAlign w:val="bottom"/>
          </w:tcPr>
          <w:p w14:paraId="23A96798" w14:textId="77777777" w:rsidR="00F9392A" w:rsidRDefault="00F9392A">
            <w:pPr>
              <w:spacing w:line="200" w:lineRule="auto"/>
            </w:pP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34F7F68E" w14:textId="77777777" w:rsidR="00F9392A" w:rsidRDefault="00F9392A"/>
        </w:tc>
        <w:tc>
          <w:tcPr>
            <w:tcW w:w="1755"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14:paraId="27BA723D" w14:textId="77777777" w:rsidR="00F9392A" w:rsidRDefault="000F0826">
            <w:pPr>
              <w:spacing w:line="200" w:lineRule="auto"/>
              <w:jc w:val="center"/>
            </w:pPr>
            <w:r>
              <w:rPr>
                <w:b/>
                <w:sz w:val="16"/>
              </w:rPr>
              <w:t>June 30, 2019</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14:paraId="36BD6108" w14:textId="77777777" w:rsidR="00F9392A" w:rsidRDefault="00F9392A"/>
        </w:tc>
        <w:tc>
          <w:tcPr>
            <w:tcW w:w="1695"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14:paraId="1A4045B4" w14:textId="77777777" w:rsidR="00F9392A" w:rsidRDefault="000F0826">
            <w:pPr>
              <w:spacing w:line="200" w:lineRule="auto"/>
              <w:jc w:val="center"/>
            </w:pPr>
            <w:r>
              <w:rPr>
                <w:b/>
                <w:sz w:val="16"/>
              </w:rPr>
              <w:t>March 31, 2019</w:t>
            </w:r>
          </w:p>
        </w:tc>
      </w:tr>
      <w:tr w:rsidR="00F9392A" w14:paraId="1C639D58" w14:textId="77777777">
        <w:trPr>
          <w:trHeight w:hRule="exact" w:val="300"/>
          <w:jc w:val="center"/>
        </w:trPr>
        <w:tc>
          <w:tcPr>
            <w:tcW w:w="5925" w:type="dxa"/>
            <w:tcBorders>
              <w:top w:val="nil"/>
              <w:left w:val="nil"/>
              <w:bottom w:val="nil"/>
              <w:right w:val="nil"/>
            </w:tcBorders>
            <w:shd w:val="clear" w:color="auto" w:fill="CCEEFF"/>
            <w:tcMar>
              <w:top w:w="75" w:type="dxa"/>
              <w:left w:w="53" w:type="dxa"/>
              <w:bottom w:w="30" w:type="dxa"/>
              <w:right w:w="53" w:type="dxa"/>
            </w:tcMar>
            <w:vAlign w:val="bottom"/>
          </w:tcPr>
          <w:p w14:paraId="666720BE" w14:textId="77777777" w:rsidR="00F9392A" w:rsidRDefault="000F0826">
            <w:pPr>
              <w:spacing w:line="200" w:lineRule="auto"/>
            </w:pPr>
            <w:r>
              <w:rPr>
                <w:sz w:val="20"/>
              </w:rPr>
              <w:t>Net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D5FF962" w14:textId="77777777" w:rsidR="00F9392A" w:rsidRDefault="00F9392A"/>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5EEEEB6" w14:textId="77777777" w:rsidR="00F9392A" w:rsidRDefault="000F0826">
            <w:pPr>
              <w:spacing w:line="200" w:lineRule="auto"/>
            </w:pPr>
            <w:r>
              <w:rPr>
                <w:sz w:val="20"/>
              </w:rPr>
              <w:t>$</w:t>
            </w:r>
          </w:p>
        </w:tc>
        <w:tc>
          <w:tcPr>
            <w:tcW w:w="16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A4861E2" w14:textId="77777777" w:rsidR="00F9392A" w:rsidRDefault="000F0826">
            <w:pPr>
              <w:spacing w:line="200" w:lineRule="auto"/>
              <w:jc w:val="right"/>
            </w:pPr>
            <w:r>
              <w:rPr>
                <w:sz w:val="20"/>
              </w:rPr>
              <w:t>119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5DFE390" w14:textId="77777777" w:rsidR="00F9392A" w:rsidRDefault="00F9392A"/>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929B139" w14:textId="77777777" w:rsidR="00F9392A" w:rsidRDefault="000F0826">
            <w:pPr>
              <w:spacing w:line="200" w:lineRule="auto"/>
            </w:pPr>
            <w:r>
              <w:rPr>
                <w:sz w:val="20"/>
              </w:rPr>
              <w:t>$</w:t>
            </w:r>
          </w:p>
        </w:tc>
        <w:tc>
          <w:tcPr>
            <w:tcW w:w="15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F80D476" w14:textId="77777777" w:rsidR="00F9392A" w:rsidRDefault="000F0826">
            <w:pPr>
              <w:spacing w:line="200" w:lineRule="auto"/>
              <w:jc w:val="right"/>
            </w:pPr>
            <w:r>
              <w:rPr>
                <w:sz w:val="20"/>
              </w:rPr>
              <w:t>137</w:t>
            </w:r>
          </w:p>
        </w:tc>
      </w:tr>
      <w:tr w:rsidR="00F9392A" w14:paraId="65E95814" w14:textId="77777777">
        <w:trPr>
          <w:trHeight w:hRule="exact" w:val="300"/>
          <w:jc w:val="center"/>
        </w:trPr>
        <w:tc>
          <w:tcPr>
            <w:tcW w:w="5925" w:type="dxa"/>
            <w:tcBorders>
              <w:top w:val="nil"/>
              <w:left w:val="nil"/>
              <w:bottom w:val="nil"/>
              <w:right w:val="nil"/>
            </w:tcBorders>
            <w:shd w:val="clear" w:color="auto" w:fill="FFFFFF"/>
            <w:tcMar>
              <w:top w:w="75" w:type="dxa"/>
              <w:left w:w="53" w:type="dxa"/>
              <w:bottom w:w="30" w:type="dxa"/>
              <w:right w:w="53" w:type="dxa"/>
            </w:tcMar>
            <w:vAlign w:val="bottom"/>
          </w:tcPr>
          <w:p w14:paraId="3497F0B7" w14:textId="77777777" w:rsidR="00F9392A" w:rsidRDefault="000F0826">
            <w:pPr>
              <w:spacing w:line="200" w:lineRule="auto"/>
            </w:pPr>
            <w:r>
              <w:rPr>
                <w:sz w:val="20"/>
              </w:rPr>
              <w:t>Add: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3FA7BB7" w14:textId="77777777" w:rsidR="00F9392A" w:rsidRDefault="00F9392A"/>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7B68F025" w14:textId="77777777" w:rsidR="00F9392A" w:rsidRDefault="00F9392A"/>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3D1C563" w14:textId="77777777" w:rsidR="00F9392A" w:rsidRDefault="00F9392A"/>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218E29E1" w14:textId="77777777" w:rsidR="00F9392A" w:rsidRDefault="00F9392A"/>
        </w:tc>
      </w:tr>
      <w:tr w:rsidR="00F9392A" w14:paraId="2CDE5DD6" w14:textId="77777777">
        <w:trPr>
          <w:trHeight w:hRule="exact" w:val="300"/>
          <w:jc w:val="center"/>
        </w:trPr>
        <w:tc>
          <w:tcPr>
            <w:tcW w:w="5925" w:type="dxa"/>
            <w:tcBorders>
              <w:top w:val="nil"/>
              <w:left w:val="nil"/>
              <w:bottom w:val="nil"/>
              <w:right w:val="nil"/>
            </w:tcBorders>
            <w:shd w:val="clear" w:color="auto" w:fill="CCEEFF"/>
            <w:tcMar>
              <w:top w:w="75" w:type="dxa"/>
              <w:left w:w="173" w:type="dxa"/>
              <w:bottom w:w="30" w:type="dxa"/>
              <w:right w:w="53" w:type="dxa"/>
            </w:tcMar>
            <w:vAlign w:val="bottom"/>
          </w:tcPr>
          <w:p w14:paraId="43E4F213" w14:textId="77777777" w:rsidR="00F9392A" w:rsidRDefault="000F0826">
            <w:pPr>
              <w:spacing w:line="200" w:lineRule="auto"/>
            </w:pPr>
            <w:r>
              <w:rPr>
                <w:sz w:val="20"/>
              </w:rPr>
              <w:t xml:space="preserve">Loss from revision of asset </w:t>
            </w:r>
            <w:r>
              <w:rPr>
                <w:sz w:val="20"/>
              </w:rPr>
              <w:t>retirement obligation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1279194" w14:textId="77777777" w:rsidR="00F9392A" w:rsidRDefault="00F9392A"/>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2608A9F7" w14:textId="77777777" w:rsidR="00F9392A" w:rsidRDefault="000F0826">
            <w:pPr>
              <w:spacing w:line="200" w:lineRule="auto"/>
              <w:jc w:val="right"/>
            </w:pPr>
            <w:r>
              <w:rPr>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6D4258" w14:textId="77777777" w:rsidR="00F9392A" w:rsidRDefault="00F9392A"/>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3B970D19" w14:textId="77777777" w:rsidR="00F9392A" w:rsidRDefault="000F0826">
            <w:pPr>
              <w:spacing w:line="200" w:lineRule="auto"/>
              <w:jc w:val="right"/>
            </w:pPr>
            <w:r>
              <w:rPr>
                <w:sz w:val="20"/>
              </w:rPr>
              <w:t>2</w:t>
            </w:r>
          </w:p>
        </w:tc>
      </w:tr>
      <w:tr w:rsidR="00F9392A" w14:paraId="2FDE8ABE" w14:textId="77777777">
        <w:trPr>
          <w:trHeight w:hRule="exact" w:val="300"/>
          <w:jc w:val="center"/>
        </w:trPr>
        <w:tc>
          <w:tcPr>
            <w:tcW w:w="5925" w:type="dxa"/>
            <w:tcBorders>
              <w:top w:val="nil"/>
              <w:left w:val="nil"/>
              <w:bottom w:val="nil"/>
              <w:right w:val="nil"/>
            </w:tcBorders>
            <w:shd w:val="clear" w:color="auto" w:fill="FFFFFF"/>
            <w:tcMar>
              <w:top w:w="75" w:type="dxa"/>
              <w:left w:w="173" w:type="dxa"/>
              <w:bottom w:w="30" w:type="dxa"/>
              <w:right w:w="53" w:type="dxa"/>
            </w:tcMar>
            <w:vAlign w:val="bottom"/>
          </w:tcPr>
          <w:p w14:paraId="69C2A7D7" w14:textId="77777777" w:rsidR="00F9392A" w:rsidRDefault="000F0826">
            <w:pPr>
              <w:spacing w:line="200" w:lineRule="auto"/>
            </w:pPr>
            <w:r>
              <w:rPr>
                <w:sz w:val="20"/>
              </w:rPr>
              <w:t>Depreciation, amortization and accretion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BADDFC9" w14:textId="77777777" w:rsidR="00F9392A" w:rsidRDefault="00F9392A"/>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086F0574" w14:textId="77777777" w:rsidR="00F9392A" w:rsidRDefault="000F0826">
            <w:pPr>
              <w:spacing w:line="200" w:lineRule="auto"/>
              <w:jc w:val="right"/>
            </w:pPr>
            <w:r>
              <w:rPr>
                <w:sz w:val="20"/>
              </w:rPr>
              <w:t>12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630E81E" w14:textId="77777777" w:rsidR="00F9392A" w:rsidRDefault="00F9392A"/>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3D458A7C" w14:textId="77777777" w:rsidR="00F9392A" w:rsidRDefault="000F0826">
            <w:pPr>
              <w:spacing w:line="200" w:lineRule="auto"/>
              <w:jc w:val="right"/>
            </w:pPr>
            <w:r>
              <w:rPr>
                <w:sz w:val="20"/>
              </w:rPr>
              <w:t>12</w:t>
            </w:r>
          </w:p>
        </w:tc>
      </w:tr>
      <w:tr w:rsidR="00F9392A" w14:paraId="481DE5AE" w14:textId="77777777">
        <w:trPr>
          <w:trHeight w:hRule="exact" w:val="300"/>
          <w:jc w:val="center"/>
        </w:trPr>
        <w:tc>
          <w:tcPr>
            <w:tcW w:w="5925" w:type="dxa"/>
            <w:tcBorders>
              <w:top w:val="nil"/>
              <w:left w:val="nil"/>
              <w:bottom w:val="nil"/>
              <w:right w:val="nil"/>
            </w:tcBorders>
            <w:shd w:val="clear" w:color="auto" w:fill="CCEEFF"/>
            <w:tcMar>
              <w:top w:w="75" w:type="dxa"/>
              <w:left w:w="173" w:type="dxa"/>
              <w:bottom w:w="30" w:type="dxa"/>
              <w:right w:w="53" w:type="dxa"/>
            </w:tcMar>
            <w:vAlign w:val="bottom"/>
          </w:tcPr>
          <w:p w14:paraId="077D70BF" w14:textId="77777777" w:rsidR="00F9392A" w:rsidRDefault="000F0826">
            <w:pPr>
              <w:spacing w:line="200" w:lineRule="auto"/>
            </w:pPr>
            <w:r>
              <w:rPr>
                <w:sz w:val="20"/>
              </w:rPr>
              <w:t>Interest expense, net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25AFB11" w14:textId="77777777" w:rsidR="00F9392A" w:rsidRDefault="00F9392A"/>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275EB769" w14:textId="77777777" w:rsidR="00F9392A" w:rsidRDefault="000F0826">
            <w:pPr>
              <w:spacing w:line="200" w:lineRule="auto"/>
              <w:jc w:val="right"/>
            </w:pPr>
            <w:r>
              <w:rPr>
                <w:sz w:val="20"/>
              </w:rPr>
              <w:t>21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7AEF0E9" w14:textId="77777777" w:rsidR="00F9392A" w:rsidRDefault="00F9392A"/>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0D5D1C93" w14:textId="77777777" w:rsidR="00F9392A" w:rsidRDefault="000F0826">
            <w:pPr>
              <w:spacing w:line="200" w:lineRule="auto"/>
              <w:jc w:val="right"/>
            </w:pPr>
            <w:r>
              <w:rPr>
                <w:sz w:val="20"/>
              </w:rPr>
              <w:t>20</w:t>
            </w:r>
          </w:p>
        </w:tc>
      </w:tr>
      <w:tr w:rsidR="00F9392A" w14:paraId="0FEE61C1" w14:textId="77777777">
        <w:trPr>
          <w:trHeight w:hRule="exact" w:val="300"/>
          <w:jc w:val="center"/>
        </w:trPr>
        <w:tc>
          <w:tcPr>
            <w:tcW w:w="5925" w:type="dxa"/>
            <w:tcBorders>
              <w:top w:val="nil"/>
              <w:left w:val="nil"/>
              <w:bottom w:val="nil"/>
              <w:right w:val="nil"/>
            </w:tcBorders>
            <w:shd w:val="clear" w:color="auto" w:fill="FFFFFF"/>
            <w:tcMar>
              <w:top w:w="75" w:type="dxa"/>
              <w:left w:w="173" w:type="dxa"/>
              <w:bottom w:w="30" w:type="dxa"/>
              <w:right w:w="53" w:type="dxa"/>
            </w:tcMar>
            <w:vAlign w:val="bottom"/>
          </w:tcPr>
          <w:p w14:paraId="3E01197B" w14:textId="77777777" w:rsidR="00F9392A" w:rsidRDefault="000F0826">
            <w:pPr>
              <w:spacing w:line="200" w:lineRule="auto"/>
            </w:pPr>
            <w:r>
              <w:rPr>
                <w:sz w:val="20"/>
              </w:rPr>
              <w:t>Income tax expense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B3B5248" w14:textId="77777777" w:rsidR="00F9392A" w:rsidRDefault="00F9392A"/>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3DD082C0" w14:textId="77777777" w:rsidR="00F9392A" w:rsidRDefault="000F0826">
            <w:pPr>
              <w:spacing w:line="200" w:lineRule="auto"/>
              <w:jc w:val="right"/>
            </w:pPr>
            <w:r>
              <w:rPr>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334DD7D" w14:textId="77777777" w:rsidR="00F9392A" w:rsidRDefault="00F9392A"/>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1E21C0CE" w14:textId="77777777" w:rsidR="00F9392A" w:rsidRDefault="000F0826">
            <w:pPr>
              <w:spacing w:line="200" w:lineRule="auto"/>
              <w:jc w:val="right"/>
            </w:pPr>
            <w:r>
              <w:rPr>
                <w:sz w:val="20"/>
              </w:rPr>
              <w:t>—</w:t>
            </w:r>
          </w:p>
        </w:tc>
      </w:tr>
      <w:tr w:rsidR="00F9392A" w14:paraId="3DDEEE27" w14:textId="77777777">
        <w:trPr>
          <w:trHeight w:hRule="exact" w:val="300"/>
          <w:jc w:val="center"/>
        </w:trPr>
        <w:tc>
          <w:tcPr>
            <w:tcW w:w="5925" w:type="dxa"/>
            <w:tcBorders>
              <w:top w:val="nil"/>
              <w:left w:val="nil"/>
              <w:bottom w:val="nil"/>
              <w:right w:val="nil"/>
            </w:tcBorders>
            <w:shd w:val="clear" w:color="auto" w:fill="CCEEFF"/>
            <w:tcMar>
              <w:top w:w="75" w:type="dxa"/>
              <w:left w:w="173" w:type="dxa"/>
              <w:bottom w:w="30" w:type="dxa"/>
              <w:right w:w="53" w:type="dxa"/>
            </w:tcMar>
            <w:vAlign w:val="bottom"/>
          </w:tcPr>
          <w:p w14:paraId="4728D519" w14:textId="77777777" w:rsidR="00F9392A" w:rsidRDefault="000F0826">
            <w:pPr>
              <w:spacing w:line="200" w:lineRule="auto"/>
            </w:pPr>
            <w:r>
              <w:rPr>
                <w:sz w:val="20"/>
              </w:rPr>
              <w:t>Cash distribution received from equity method investments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483EB77" w14:textId="77777777" w:rsidR="00F9392A" w:rsidRDefault="00F9392A"/>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53ECDD5D" w14:textId="77777777" w:rsidR="00F9392A" w:rsidRDefault="000F0826">
            <w:pPr>
              <w:spacing w:line="200" w:lineRule="auto"/>
              <w:jc w:val="right"/>
            </w:pPr>
            <w:r>
              <w:rPr>
                <w:sz w:val="20"/>
              </w:rPr>
              <w:t>128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F52E46" w14:textId="77777777" w:rsidR="00F9392A" w:rsidRDefault="00F9392A"/>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18FD0614" w14:textId="77777777" w:rsidR="00F9392A" w:rsidRDefault="000F0826">
            <w:pPr>
              <w:spacing w:line="200" w:lineRule="auto"/>
              <w:jc w:val="right"/>
            </w:pPr>
            <w:r>
              <w:rPr>
                <w:sz w:val="20"/>
              </w:rPr>
              <w:t>83</w:t>
            </w:r>
          </w:p>
        </w:tc>
      </w:tr>
      <w:tr w:rsidR="00F9392A" w14:paraId="75B02056" w14:textId="77777777">
        <w:trPr>
          <w:trHeight w:hRule="exact" w:val="300"/>
          <w:jc w:val="center"/>
        </w:trPr>
        <w:tc>
          <w:tcPr>
            <w:tcW w:w="5925" w:type="dxa"/>
            <w:tcBorders>
              <w:top w:val="nil"/>
              <w:left w:val="nil"/>
              <w:bottom w:val="nil"/>
              <w:right w:val="nil"/>
            </w:tcBorders>
            <w:shd w:val="clear" w:color="auto" w:fill="FFFFFF"/>
            <w:tcMar>
              <w:top w:w="75" w:type="dxa"/>
              <w:left w:w="53" w:type="dxa"/>
              <w:bottom w:w="30" w:type="dxa"/>
              <w:right w:w="53" w:type="dxa"/>
            </w:tcMar>
            <w:vAlign w:val="bottom"/>
          </w:tcPr>
          <w:p w14:paraId="2C63338C" w14:textId="77777777" w:rsidR="00F9392A" w:rsidRDefault="000F0826">
            <w:pPr>
              <w:spacing w:line="200" w:lineRule="auto"/>
            </w:pPr>
            <w:r>
              <w:rPr>
                <w:sz w:val="20"/>
              </w:rPr>
              <w:t>Less: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4BD527B" w14:textId="77777777" w:rsidR="00F9392A" w:rsidRDefault="00F9392A"/>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1E12239C" w14:textId="77777777" w:rsidR="00F9392A" w:rsidRDefault="00F9392A"/>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ECD2F1" w14:textId="77777777" w:rsidR="00F9392A" w:rsidRDefault="00F9392A"/>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70653506" w14:textId="77777777" w:rsidR="00F9392A" w:rsidRDefault="00F9392A"/>
        </w:tc>
      </w:tr>
      <w:tr w:rsidR="00F9392A" w14:paraId="14918AC1" w14:textId="77777777">
        <w:trPr>
          <w:trHeight w:hRule="exact" w:val="300"/>
          <w:jc w:val="center"/>
        </w:trPr>
        <w:tc>
          <w:tcPr>
            <w:tcW w:w="5925" w:type="dxa"/>
            <w:tcBorders>
              <w:top w:val="nil"/>
              <w:left w:val="nil"/>
              <w:bottom w:val="nil"/>
              <w:right w:val="nil"/>
            </w:tcBorders>
            <w:shd w:val="clear" w:color="auto" w:fill="CCEEFF"/>
            <w:tcMar>
              <w:top w:w="75" w:type="dxa"/>
              <w:left w:w="173" w:type="dxa"/>
              <w:bottom w:w="30" w:type="dxa"/>
              <w:right w:w="53" w:type="dxa"/>
            </w:tcMar>
            <w:vAlign w:val="bottom"/>
          </w:tcPr>
          <w:p w14:paraId="00D57882" w14:textId="77777777" w:rsidR="00F9392A" w:rsidRDefault="000F0826">
            <w:pPr>
              <w:spacing w:line="200" w:lineRule="auto"/>
            </w:pPr>
            <w:r>
              <w:rPr>
                <w:sz w:val="20"/>
              </w:rPr>
              <w:t xml:space="preserve">Equity method distributions </w:t>
            </w:r>
            <w:r>
              <w:rPr>
                <w:sz w:val="20"/>
              </w:rPr>
              <w:t>included in other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87CD10C" w14:textId="77777777" w:rsidR="00F9392A" w:rsidRDefault="00F9392A"/>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076C6738" w14:textId="77777777" w:rsidR="00F9392A" w:rsidRDefault="000F0826">
            <w:pPr>
              <w:spacing w:line="200" w:lineRule="auto"/>
              <w:jc w:val="right"/>
            </w:pPr>
            <w:r>
              <w:rPr>
                <w:sz w:val="20"/>
              </w:rPr>
              <w:t>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4C0949D" w14:textId="77777777" w:rsidR="00F9392A" w:rsidRDefault="00F9392A"/>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4B12353F" w14:textId="77777777" w:rsidR="00F9392A" w:rsidRDefault="000F0826">
            <w:pPr>
              <w:spacing w:line="200" w:lineRule="auto"/>
              <w:jc w:val="right"/>
            </w:pPr>
            <w:r>
              <w:rPr>
                <w:sz w:val="20"/>
              </w:rPr>
              <w:t>8</w:t>
            </w:r>
          </w:p>
        </w:tc>
      </w:tr>
      <w:tr w:rsidR="00F9392A" w14:paraId="7F250B66" w14:textId="77777777">
        <w:trPr>
          <w:trHeight w:hRule="exact" w:val="300"/>
          <w:jc w:val="center"/>
        </w:trPr>
        <w:tc>
          <w:tcPr>
            <w:tcW w:w="5925" w:type="dxa"/>
            <w:tcBorders>
              <w:top w:val="nil"/>
              <w:left w:val="nil"/>
              <w:bottom w:val="nil"/>
              <w:right w:val="nil"/>
            </w:tcBorders>
            <w:shd w:val="clear" w:color="auto" w:fill="FFFFFF"/>
            <w:tcMar>
              <w:top w:w="75" w:type="dxa"/>
              <w:left w:w="173" w:type="dxa"/>
              <w:bottom w:w="30" w:type="dxa"/>
              <w:right w:w="53" w:type="dxa"/>
            </w:tcMar>
            <w:vAlign w:val="bottom"/>
          </w:tcPr>
          <w:p w14:paraId="2E84D1ED" w14:textId="77777777" w:rsidR="00F9392A" w:rsidRDefault="000F0826">
            <w:pPr>
              <w:spacing w:line="200" w:lineRule="auto"/>
            </w:pPr>
            <w:r>
              <w:rPr>
                <w:sz w:val="20"/>
              </w:rPr>
              <w:t>Income from equity method investments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763356" w14:textId="77777777" w:rsidR="00F9392A" w:rsidRDefault="00F9392A"/>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299C3399" w14:textId="77777777" w:rsidR="00F9392A" w:rsidRDefault="000F0826">
            <w:pPr>
              <w:spacing w:line="200" w:lineRule="auto"/>
              <w:jc w:val="right"/>
            </w:pPr>
            <w:r>
              <w:rPr>
                <w:sz w:val="20"/>
              </w:rPr>
              <w:t>80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87447C0" w14:textId="77777777" w:rsidR="00F9392A" w:rsidRDefault="00F9392A"/>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4FF1826A" w14:textId="77777777" w:rsidR="00F9392A" w:rsidRDefault="000F0826">
            <w:pPr>
              <w:spacing w:line="200" w:lineRule="auto"/>
              <w:jc w:val="right"/>
            </w:pPr>
            <w:r>
              <w:rPr>
                <w:sz w:val="20"/>
              </w:rPr>
              <w:t>70</w:t>
            </w:r>
          </w:p>
        </w:tc>
      </w:tr>
      <w:tr w:rsidR="00F9392A" w14:paraId="273C29B6" w14:textId="77777777">
        <w:trPr>
          <w:trHeight w:hRule="exact" w:val="300"/>
          <w:jc w:val="center"/>
        </w:trPr>
        <w:tc>
          <w:tcPr>
            <w:tcW w:w="5925" w:type="dxa"/>
            <w:tcBorders>
              <w:top w:val="nil"/>
              <w:left w:val="nil"/>
              <w:bottom w:val="nil"/>
              <w:right w:val="nil"/>
            </w:tcBorders>
            <w:shd w:val="clear" w:color="auto" w:fill="CCEEFF"/>
            <w:tcMar>
              <w:top w:w="75" w:type="dxa"/>
              <w:left w:w="53" w:type="dxa"/>
              <w:bottom w:w="30" w:type="dxa"/>
              <w:right w:w="53" w:type="dxa"/>
            </w:tcMar>
            <w:vAlign w:val="bottom"/>
          </w:tcPr>
          <w:p w14:paraId="4B3341AA" w14:textId="77777777" w:rsidR="00F9392A" w:rsidRDefault="000F0826">
            <w:pPr>
              <w:spacing w:line="200" w:lineRule="auto"/>
            </w:pPr>
            <w:r>
              <w:rPr>
                <w:sz w:val="20"/>
              </w:rPr>
              <w:t>Adjusted EBITDA</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86AE91C" w14:textId="77777777" w:rsidR="00F9392A" w:rsidRDefault="00F9392A"/>
        </w:tc>
        <w:tc>
          <w:tcPr>
            <w:tcW w:w="175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14:paraId="087D7C31" w14:textId="77777777" w:rsidR="00F9392A" w:rsidRDefault="000F0826">
            <w:pPr>
              <w:spacing w:line="200" w:lineRule="auto"/>
              <w:jc w:val="right"/>
            </w:pPr>
            <w:r>
              <w:rPr>
                <w:sz w:val="20"/>
              </w:rPr>
              <w:t>191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120CF0" w14:textId="77777777" w:rsidR="00F9392A" w:rsidRDefault="00F9392A"/>
        </w:tc>
        <w:tc>
          <w:tcPr>
            <w:tcW w:w="169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14:paraId="3C872250" w14:textId="77777777" w:rsidR="00F9392A" w:rsidRDefault="000F0826">
            <w:pPr>
              <w:spacing w:line="200" w:lineRule="auto"/>
              <w:jc w:val="right"/>
            </w:pPr>
            <w:r>
              <w:rPr>
                <w:sz w:val="20"/>
              </w:rPr>
              <w:t>176</w:t>
            </w:r>
          </w:p>
        </w:tc>
      </w:tr>
      <w:tr w:rsidR="00F9392A" w14:paraId="3CAA6FFA" w14:textId="77777777">
        <w:trPr>
          <w:trHeight w:hRule="exact" w:val="300"/>
          <w:jc w:val="center"/>
        </w:trPr>
        <w:tc>
          <w:tcPr>
            <w:tcW w:w="5925" w:type="dxa"/>
            <w:tcBorders>
              <w:top w:val="nil"/>
              <w:left w:val="nil"/>
              <w:bottom w:val="nil"/>
              <w:right w:val="nil"/>
            </w:tcBorders>
            <w:shd w:val="clear" w:color="auto" w:fill="FFFFFF"/>
            <w:tcMar>
              <w:top w:w="75" w:type="dxa"/>
              <w:left w:w="53" w:type="dxa"/>
              <w:bottom w:w="30" w:type="dxa"/>
              <w:right w:w="53" w:type="dxa"/>
            </w:tcMar>
            <w:vAlign w:val="bottom"/>
          </w:tcPr>
          <w:p w14:paraId="4A18EC01" w14:textId="77777777" w:rsidR="00F9392A" w:rsidRDefault="000F0826">
            <w:pPr>
              <w:spacing w:line="200" w:lineRule="auto"/>
            </w:pPr>
            <w:r>
              <w:rPr>
                <w:sz w:val="20"/>
              </w:rPr>
              <w:t>Less: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922C7BE" w14:textId="77777777" w:rsidR="00F9392A" w:rsidRDefault="00F9392A"/>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065594A6" w14:textId="77777777" w:rsidR="00F9392A" w:rsidRDefault="00F9392A"/>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C3468DE" w14:textId="77777777" w:rsidR="00F9392A" w:rsidRDefault="00F9392A"/>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21A7C7D8" w14:textId="77777777" w:rsidR="00F9392A" w:rsidRDefault="00F9392A"/>
        </w:tc>
      </w:tr>
      <w:tr w:rsidR="00F9392A" w14:paraId="4797B350" w14:textId="77777777">
        <w:trPr>
          <w:trHeight w:hRule="exact" w:val="300"/>
          <w:jc w:val="center"/>
        </w:trPr>
        <w:tc>
          <w:tcPr>
            <w:tcW w:w="5925" w:type="dxa"/>
            <w:tcBorders>
              <w:top w:val="nil"/>
              <w:left w:val="nil"/>
              <w:bottom w:val="nil"/>
              <w:right w:val="nil"/>
            </w:tcBorders>
            <w:shd w:val="clear" w:color="auto" w:fill="CCEEFF"/>
            <w:tcMar>
              <w:top w:w="75" w:type="dxa"/>
              <w:left w:w="173" w:type="dxa"/>
              <w:bottom w:w="30" w:type="dxa"/>
              <w:right w:w="53" w:type="dxa"/>
            </w:tcMar>
            <w:vAlign w:val="bottom"/>
          </w:tcPr>
          <w:p w14:paraId="7196A0BC" w14:textId="77777777" w:rsidR="00F9392A" w:rsidRDefault="000F0826">
            <w:pPr>
              <w:spacing w:line="200" w:lineRule="auto"/>
            </w:pPr>
            <w:r>
              <w:rPr>
                <w:sz w:val="20"/>
              </w:rPr>
              <w:t>Adjusted EBITDA attributable to noncontrolling interests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AA1411C" w14:textId="77777777" w:rsidR="00F9392A" w:rsidRDefault="00F9392A"/>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574BAFE7" w14:textId="77777777" w:rsidR="00F9392A" w:rsidRDefault="000F0826">
            <w:pPr>
              <w:spacing w:line="200" w:lineRule="auto"/>
              <w:jc w:val="right"/>
            </w:pPr>
            <w:r>
              <w:rPr>
                <w:sz w:val="20"/>
              </w:rPr>
              <w:t>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DA81DDE" w14:textId="77777777" w:rsidR="00F9392A" w:rsidRDefault="00F9392A"/>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058E852D" w14:textId="77777777" w:rsidR="00F9392A" w:rsidRDefault="000F0826">
            <w:pPr>
              <w:spacing w:line="200" w:lineRule="auto"/>
              <w:jc w:val="right"/>
            </w:pPr>
            <w:r>
              <w:rPr>
                <w:sz w:val="20"/>
              </w:rPr>
              <w:t>6</w:t>
            </w:r>
          </w:p>
        </w:tc>
      </w:tr>
      <w:tr w:rsidR="00F9392A" w14:paraId="4DC81EE1" w14:textId="77777777">
        <w:trPr>
          <w:trHeight w:hRule="exact" w:val="300"/>
          <w:jc w:val="center"/>
        </w:trPr>
        <w:tc>
          <w:tcPr>
            <w:tcW w:w="5925" w:type="dxa"/>
            <w:tcBorders>
              <w:top w:val="nil"/>
              <w:left w:val="nil"/>
              <w:bottom w:val="nil"/>
              <w:right w:val="nil"/>
            </w:tcBorders>
            <w:shd w:val="clear" w:color="auto" w:fill="FFFFFF"/>
            <w:tcMar>
              <w:top w:w="75" w:type="dxa"/>
              <w:left w:w="53" w:type="dxa"/>
              <w:bottom w:w="30" w:type="dxa"/>
              <w:right w:w="53" w:type="dxa"/>
            </w:tcMar>
            <w:vAlign w:val="bottom"/>
          </w:tcPr>
          <w:p w14:paraId="21C6E519" w14:textId="77777777" w:rsidR="00F9392A" w:rsidRDefault="000F0826">
            <w:pPr>
              <w:spacing w:line="200" w:lineRule="auto"/>
            </w:pPr>
            <w:r>
              <w:rPr>
                <w:sz w:val="20"/>
              </w:rPr>
              <w:t>Adjusted EBITDA attributable to the Partnership</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64FAC2C" w14:textId="77777777" w:rsidR="00F9392A" w:rsidRDefault="00F9392A"/>
        </w:tc>
        <w:tc>
          <w:tcPr>
            <w:tcW w:w="175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198D07C0" w14:textId="77777777" w:rsidR="00F9392A" w:rsidRDefault="000F0826">
            <w:pPr>
              <w:spacing w:line="200" w:lineRule="auto"/>
              <w:jc w:val="right"/>
            </w:pPr>
            <w:r>
              <w:rPr>
                <w:sz w:val="20"/>
              </w:rPr>
              <w:t>187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26F1C94" w14:textId="77777777" w:rsidR="00F9392A" w:rsidRDefault="00F9392A"/>
        </w:tc>
        <w:tc>
          <w:tcPr>
            <w:tcW w:w="169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0BA82CB7" w14:textId="77777777" w:rsidR="00F9392A" w:rsidRDefault="000F0826">
            <w:pPr>
              <w:spacing w:line="200" w:lineRule="auto"/>
              <w:jc w:val="right"/>
            </w:pPr>
            <w:r>
              <w:rPr>
                <w:sz w:val="20"/>
              </w:rPr>
              <w:t>170</w:t>
            </w:r>
          </w:p>
        </w:tc>
      </w:tr>
      <w:tr w:rsidR="00F9392A" w14:paraId="5D871932" w14:textId="77777777">
        <w:trPr>
          <w:trHeight w:hRule="exact" w:val="300"/>
          <w:jc w:val="center"/>
        </w:trPr>
        <w:tc>
          <w:tcPr>
            <w:tcW w:w="5925" w:type="dxa"/>
            <w:tcBorders>
              <w:top w:val="nil"/>
              <w:left w:val="nil"/>
              <w:bottom w:val="nil"/>
              <w:right w:val="nil"/>
            </w:tcBorders>
            <w:shd w:val="clear" w:color="auto" w:fill="CCEEFF"/>
            <w:tcMar>
              <w:top w:w="75" w:type="dxa"/>
              <w:left w:w="53" w:type="dxa"/>
              <w:bottom w:w="30" w:type="dxa"/>
              <w:right w:w="53" w:type="dxa"/>
            </w:tcMar>
            <w:vAlign w:val="bottom"/>
          </w:tcPr>
          <w:p w14:paraId="115572A3" w14:textId="77777777" w:rsidR="00F9392A" w:rsidRDefault="000F0826">
            <w:pPr>
              <w:spacing w:line="200" w:lineRule="auto"/>
            </w:pPr>
            <w:r>
              <w:rPr>
                <w:sz w:val="20"/>
              </w:rPr>
              <w:t>Less: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1B82FA" w14:textId="77777777" w:rsidR="00F9392A" w:rsidRDefault="00F9392A"/>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387C674B" w14:textId="77777777" w:rsidR="00F9392A" w:rsidRDefault="00F9392A"/>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793841C" w14:textId="77777777" w:rsidR="00F9392A" w:rsidRDefault="00F9392A"/>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113FF42D" w14:textId="77777777" w:rsidR="00F9392A" w:rsidRDefault="00F9392A"/>
        </w:tc>
      </w:tr>
      <w:tr w:rsidR="00F9392A" w14:paraId="2D0460E1" w14:textId="77777777">
        <w:trPr>
          <w:trHeight w:hRule="exact" w:val="300"/>
          <w:jc w:val="center"/>
        </w:trPr>
        <w:tc>
          <w:tcPr>
            <w:tcW w:w="5925" w:type="dxa"/>
            <w:tcBorders>
              <w:top w:val="nil"/>
              <w:left w:val="nil"/>
              <w:bottom w:val="nil"/>
              <w:right w:val="nil"/>
            </w:tcBorders>
            <w:shd w:val="clear" w:color="auto" w:fill="FFFFFF"/>
            <w:tcMar>
              <w:top w:w="75" w:type="dxa"/>
              <w:left w:w="173" w:type="dxa"/>
              <w:bottom w:w="30" w:type="dxa"/>
              <w:right w:w="53" w:type="dxa"/>
            </w:tcMar>
            <w:vAlign w:val="bottom"/>
          </w:tcPr>
          <w:p w14:paraId="22DE6B82" w14:textId="77777777" w:rsidR="00F9392A" w:rsidRDefault="000F0826">
            <w:pPr>
              <w:widowControl w:val="0"/>
              <w:spacing w:line="200" w:lineRule="auto"/>
            </w:pPr>
            <w:r>
              <w:rPr>
                <w:sz w:val="20"/>
              </w:rPr>
              <w:t xml:space="preserve">Net interest paid attributable to the Partnership </w:t>
            </w:r>
            <w:r>
              <w:rPr>
                <w:sz w:val="20"/>
                <w:vertAlign w:val="superscript"/>
              </w:rPr>
              <w:t>(1)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9CF139F" w14:textId="77777777" w:rsidR="00F9392A" w:rsidRDefault="00F9392A"/>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283099D9" w14:textId="77777777" w:rsidR="00F9392A" w:rsidRDefault="000F0826">
            <w:pPr>
              <w:spacing w:line="200" w:lineRule="auto"/>
              <w:jc w:val="right"/>
            </w:pPr>
            <w:r>
              <w:rPr>
                <w:sz w:val="20"/>
              </w:rPr>
              <w:t>21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B8AE090" w14:textId="77777777" w:rsidR="00F9392A" w:rsidRDefault="00F9392A"/>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49D5E022" w14:textId="77777777" w:rsidR="00F9392A" w:rsidRDefault="000F0826">
            <w:pPr>
              <w:spacing w:line="200" w:lineRule="auto"/>
              <w:jc w:val="right"/>
            </w:pPr>
            <w:r>
              <w:rPr>
                <w:sz w:val="20"/>
              </w:rPr>
              <w:t>20</w:t>
            </w:r>
          </w:p>
        </w:tc>
      </w:tr>
      <w:tr w:rsidR="00F9392A" w14:paraId="0F5EFD4F" w14:textId="77777777">
        <w:trPr>
          <w:trHeight w:hRule="exact" w:val="300"/>
          <w:jc w:val="center"/>
        </w:trPr>
        <w:tc>
          <w:tcPr>
            <w:tcW w:w="5925" w:type="dxa"/>
            <w:tcBorders>
              <w:top w:val="nil"/>
              <w:left w:val="nil"/>
              <w:bottom w:val="nil"/>
              <w:right w:val="nil"/>
            </w:tcBorders>
            <w:shd w:val="clear" w:color="auto" w:fill="CCEEFF"/>
            <w:tcMar>
              <w:top w:w="75" w:type="dxa"/>
              <w:left w:w="173" w:type="dxa"/>
              <w:bottom w:w="30" w:type="dxa"/>
              <w:right w:w="53" w:type="dxa"/>
            </w:tcMar>
            <w:vAlign w:val="bottom"/>
          </w:tcPr>
          <w:p w14:paraId="1C055A21" w14:textId="77777777" w:rsidR="00F9392A" w:rsidRDefault="000F0826">
            <w:pPr>
              <w:spacing w:line="200" w:lineRule="auto"/>
            </w:pPr>
            <w:r>
              <w:rPr>
                <w:sz w:val="20"/>
              </w:rPr>
              <w:t>Income taxes paid attributable to the Partnership</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5F54EB" w14:textId="77777777" w:rsidR="00F9392A" w:rsidRDefault="00F9392A"/>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2849864D" w14:textId="77777777" w:rsidR="00F9392A" w:rsidRDefault="000F0826">
            <w:pPr>
              <w:spacing w:line="200" w:lineRule="auto"/>
              <w:jc w:val="right"/>
            </w:pPr>
            <w:r>
              <w:rPr>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7B20407" w14:textId="77777777" w:rsidR="00F9392A" w:rsidRDefault="00F9392A"/>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73514207" w14:textId="77777777" w:rsidR="00F9392A" w:rsidRDefault="000F0826">
            <w:pPr>
              <w:spacing w:line="200" w:lineRule="auto"/>
              <w:jc w:val="right"/>
            </w:pPr>
            <w:r>
              <w:rPr>
                <w:sz w:val="20"/>
              </w:rPr>
              <w:t>—</w:t>
            </w:r>
          </w:p>
        </w:tc>
      </w:tr>
      <w:tr w:rsidR="00F9392A" w14:paraId="4B009058" w14:textId="77777777">
        <w:trPr>
          <w:trHeight w:hRule="exact" w:val="300"/>
          <w:jc w:val="center"/>
        </w:trPr>
        <w:tc>
          <w:tcPr>
            <w:tcW w:w="5925" w:type="dxa"/>
            <w:tcBorders>
              <w:top w:val="nil"/>
              <w:left w:val="nil"/>
              <w:bottom w:val="nil"/>
              <w:right w:val="nil"/>
            </w:tcBorders>
            <w:shd w:val="clear" w:color="auto" w:fill="FFFFFF"/>
            <w:tcMar>
              <w:top w:w="75" w:type="dxa"/>
              <w:left w:w="173" w:type="dxa"/>
              <w:bottom w:w="30" w:type="dxa"/>
              <w:right w:w="53" w:type="dxa"/>
            </w:tcMar>
            <w:vAlign w:val="bottom"/>
          </w:tcPr>
          <w:p w14:paraId="4A286F6E" w14:textId="77777777" w:rsidR="00F9392A" w:rsidRDefault="000F0826">
            <w:pPr>
              <w:spacing w:line="200" w:lineRule="auto"/>
            </w:pPr>
            <w:r>
              <w:rPr>
                <w:sz w:val="20"/>
              </w:rPr>
              <w:t xml:space="preserve">Maintenance capex attributable to the Partnership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C479D7D" w14:textId="77777777" w:rsidR="00F9392A" w:rsidRDefault="00F9392A"/>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327185AD" w14:textId="77777777" w:rsidR="00F9392A" w:rsidRDefault="000F0826">
            <w:pPr>
              <w:spacing w:line="200" w:lineRule="auto"/>
              <w:jc w:val="right"/>
            </w:pPr>
            <w:r>
              <w:rPr>
                <w:sz w:val="20"/>
              </w:rPr>
              <w:t>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21F957" w14:textId="77777777" w:rsidR="00F9392A" w:rsidRDefault="00F9392A"/>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5A6760FC" w14:textId="77777777" w:rsidR="00F9392A" w:rsidRDefault="000F0826">
            <w:pPr>
              <w:spacing w:line="200" w:lineRule="auto"/>
              <w:jc w:val="right"/>
            </w:pPr>
            <w:r>
              <w:rPr>
                <w:sz w:val="20"/>
              </w:rPr>
              <w:t>8</w:t>
            </w:r>
          </w:p>
        </w:tc>
      </w:tr>
      <w:tr w:rsidR="00F9392A" w14:paraId="174EFE24" w14:textId="77777777">
        <w:trPr>
          <w:trHeight w:hRule="exact" w:val="300"/>
          <w:jc w:val="center"/>
        </w:trPr>
        <w:tc>
          <w:tcPr>
            <w:tcW w:w="5925" w:type="dxa"/>
            <w:tcBorders>
              <w:top w:val="nil"/>
              <w:left w:val="nil"/>
              <w:bottom w:val="nil"/>
              <w:right w:val="nil"/>
            </w:tcBorders>
            <w:shd w:val="clear" w:color="auto" w:fill="CCEEFF"/>
            <w:tcMar>
              <w:top w:w="75" w:type="dxa"/>
              <w:left w:w="53" w:type="dxa"/>
              <w:bottom w:w="30" w:type="dxa"/>
              <w:right w:w="53" w:type="dxa"/>
            </w:tcMar>
            <w:vAlign w:val="bottom"/>
          </w:tcPr>
          <w:p w14:paraId="6FAE4FEA" w14:textId="77777777" w:rsidR="00F9392A" w:rsidRDefault="000F0826">
            <w:pPr>
              <w:spacing w:line="200" w:lineRule="auto"/>
            </w:pPr>
            <w:r>
              <w:rPr>
                <w:sz w:val="20"/>
              </w:rPr>
              <w:t>Add: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D3CBCF2" w14:textId="77777777" w:rsidR="00F9392A" w:rsidRDefault="00F9392A"/>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6E2949FB" w14:textId="77777777" w:rsidR="00F9392A" w:rsidRDefault="00F9392A"/>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108199F" w14:textId="77777777" w:rsidR="00F9392A" w:rsidRDefault="00F9392A"/>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6ECBB0EA" w14:textId="77777777" w:rsidR="00F9392A" w:rsidRDefault="00F9392A"/>
        </w:tc>
      </w:tr>
      <w:tr w:rsidR="00F9392A" w14:paraId="270DC600" w14:textId="77777777">
        <w:trPr>
          <w:trHeight w:hRule="exact" w:val="495"/>
          <w:jc w:val="center"/>
        </w:trPr>
        <w:tc>
          <w:tcPr>
            <w:tcW w:w="5925" w:type="dxa"/>
            <w:tcBorders>
              <w:top w:val="nil"/>
              <w:left w:val="nil"/>
              <w:bottom w:val="nil"/>
              <w:right w:val="nil"/>
            </w:tcBorders>
            <w:shd w:val="clear" w:color="auto" w:fill="FFFFFF"/>
            <w:tcMar>
              <w:top w:w="75" w:type="dxa"/>
              <w:left w:w="173" w:type="dxa"/>
              <w:bottom w:w="30" w:type="dxa"/>
              <w:right w:w="53" w:type="dxa"/>
            </w:tcMar>
            <w:vAlign w:val="bottom"/>
          </w:tcPr>
          <w:p w14:paraId="4C786BBE" w14:textId="77777777" w:rsidR="00F9392A" w:rsidRDefault="000F0826">
            <w:pPr>
              <w:spacing w:line="200" w:lineRule="auto"/>
            </w:pPr>
            <w:r>
              <w:rPr>
                <w:sz w:val="20"/>
              </w:rPr>
              <w:t xml:space="preserve">Net adjustments from volume deficiency payments </w:t>
            </w:r>
            <w:r>
              <w:rPr>
                <w:sz w:val="20"/>
              </w:rPr>
              <w:t>attributable to the Partnership</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2CA287F" w14:textId="77777777" w:rsidR="00F9392A" w:rsidRDefault="00F9392A"/>
        </w:tc>
        <w:tc>
          <w:tcPr>
            <w:tcW w:w="1755" w:type="dxa"/>
            <w:gridSpan w:val="2"/>
            <w:tcBorders>
              <w:top w:val="nil"/>
              <w:left w:val="nil"/>
              <w:bottom w:val="nil"/>
              <w:right w:val="nil"/>
            </w:tcBorders>
            <w:shd w:val="clear" w:color="auto" w:fill="FFFFFF"/>
            <w:tcMar>
              <w:top w:w="0" w:type="dxa"/>
              <w:left w:w="0" w:type="dxa"/>
              <w:bottom w:w="0" w:type="dxa"/>
              <w:right w:w="0" w:type="dxa"/>
            </w:tcMar>
            <w:vAlign w:val="bottom"/>
          </w:tcPr>
          <w:p w14:paraId="60806D1F" w14:textId="77777777" w:rsidR="00F9392A" w:rsidRDefault="000F0826">
            <w:pPr>
              <w:spacing w:line="200" w:lineRule="auto"/>
              <w:jc w:val="right"/>
            </w:pPr>
            <w:r>
              <w:rPr>
                <w:sz w:val="20"/>
              </w:rPr>
              <w:t>(1)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9E72810" w14:textId="77777777" w:rsidR="00F9392A" w:rsidRDefault="00F9392A"/>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73F8B391" w14:textId="77777777" w:rsidR="00F9392A" w:rsidRDefault="000F0826">
            <w:pPr>
              <w:spacing w:line="200" w:lineRule="auto"/>
              <w:jc w:val="right"/>
            </w:pPr>
            <w:r>
              <w:rPr>
                <w:sz w:val="20"/>
              </w:rPr>
              <w:t>(9)</w:t>
            </w:r>
          </w:p>
        </w:tc>
      </w:tr>
      <w:tr w:rsidR="00F9392A" w14:paraId="31D89587" w14:textId="77777777">
        <w:trPr>
          <w:trHeight w:hRule="exact" w:val="300"/>
          <w:jc w:val="center"/>
        </w:trPr>
        <w:tc>
          <w:tcPr>
            <w:tcW w:w="5925" w:type="dxa"/>
            <w:tcBorders>
              <w:top w:val="nil"/>
              <w:left w:val="nil"/>
              <w:bottom w:val="nil"/>
              <w:right w:val="nil"/>
            </w:tcBorders>
            <w:shd w:val="clear" w:color="auto" w:fill="CCEEFF"/>
            <w:tcMar>
              <w:top w:w="75" w:type="dxa"/>
              <w:left w:w="173" w:type="dxa"/>
              <w:bottom w:w="30" w:type="dxa"/>
              <w:right w:w="53" w:type="dxa"/>
            </w:tcMar>
            <w:vAlign w:val="bottom"/>
          </w:tcPr>
          <w:p w14:paraId="5671BF72" w14:textId="77777777" w:rsidR="00F9392A" w:rsidRDefault="000F0826">
            <w:pPr>
              <w:spacing w:line="200" w:lineRule="auto"/>
            </w:pPr>
            <w:r>
              <w:rPr>
                <w:sz w:val="20"/>
              </w:rPr>
              <w:t>Reimbursements from Parent included in partners’ capital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4CA6343" w14:textId="77777777" w:rsidR="00F9392A" w:rsidRDefault="00F9392A"/>
        </w:tc>
        <w:tc>
          <w:tcPr>
            <w:tcW w:w="1755" w:type="dxa"/>
            <w:gridSpan w:val="2"/>
            <w:tcBorders>
              <w:top w:val="nil"/>
              <w:left w:val="nil"/>
              <w:bottom w:val="nil"/>
              <w:right w:val="nil"/>
            </w:tcBorders>
            <w:shd w:val="clear" w:color="auto" w:fill="CCEEFF"/>
            <w:tcMar>
              <w:top w:w="0" w:type="dxa"/>
              <w:left w:w="0" w:type="dxa"/>
              <w:bottom w:w="0" w:type="dxa"/>
              <w:right w:w="0" w:type="dxa"/>
            </w:tcMar>
            <w:vAlign w:val="bottom"/>
          </w:tcPr>
          <w:p w14:paraId="434EDBEE" w14:textId="77777777" w:rsidR="00F9392A" w:rsidRDefault="000F0826">
            <w:pPr>
              <w:spacing w:line="200" w:lineRule="auto"/>
              <w:jc w:val="right"/>
            </w:pPr>
            <w:r>
              <w:rPr>
                <w:sz w:val="20"/>
              </w:rPr>
              <w:t>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3580417" w14:textId="77777777" w:rsidR="00F9392A" w:rsidRDefault="00F9392A"/>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22A1BCE6" w14:textId="77777777" w:rsidR="00F9392A" w:rsidRDefault="000F0826">
            <w:pPr>
              <w:spacing w:line="200" w:lineRule="auto"/>
              <w:jc w:val="right"/>
            </w:pPr>
            <w:r>
              <w:rPr>
                <w:sz w:val="20"/>
              </w:rPr>
              <w:t>7</w:t>
            </w:r>
          </w:p>
        </w:tc>
      </w:tr>
      <w:tr w:rsidR="00F9392A" w14:paraId="0115B82D" w14:textId="77777777">
        <w:trPr>
          <w:trHeight w:hRule="exact" w:val="300"/>
          <w:jc w:val="center"/>
        </w:trPr>
        <w:tc>
          <w:tcPr>
            <w:tcW w:w="5925" w:type="dxa"/>
            <w:tcBorders>
              <w:top w:val="nil"/>
              <w:left w:val="nil"/>
              <w:bottom w:val="nil"/>
              <w:right w:val="nil"/>
            </w:tcBorders>
            <w:shd w:val="clear" w:color="auto" w:fill="FFFFFF"/>
            <w:tcMar>
              <w:top w:w="75" w:type="dxa"/>
              <w:left w:w="53" w:type="dxa"/>
              <w:bottom w:w="30" w:type="dxa"/>
              <w:right w:w="53" w:type="dxa"/>
            </w:tcMar>
            <w:vAlign w:val="bottom"/>
          </w:tcPr>
          <w:p w14:paraId="5CED2AF1" w14:textId="77777777" w:rsidR="00F9392A" w:rsidRDefault="000F0826">
            <w:pPr>
              <w:spacing w:line="200" w:lineRule="auto"/>
            </w:pPr>
            <w:r>
              <w:rPr>
                <w:sz w:val="20"/>
              </w:rPr>
              <w:t>Cash available for distribution attributable to the Partnership</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19543A8" w14:textId="77777777" w:rsidR="00F9392A" w:rsidRDefault="00F9392A"/>
        </w:tc>
        <w:tc>
          <w:tcPr>
            <w:tcW w:w="1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6515149" w14:textId="77777777" w:rsidR="00F9392A" w:rsidRDefault="000F0826">
            <w:pPr>
              <w:spacing w:line="200" w:lineRule="auto"/>
            </w:pPr>
            <w:r>
              <w:rPr>
                <w:sz w:val="20"/>
              </w:rPr>
              <w:t>$</w:t>
            </w:r>
          </w:p>
        </w:tc>
        <w:tc>
          <w:tcPr>
            <w:tcW w:w="165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8A81B6A" w14:textId="77777777" w:rsidR="00F9392A" w:rsidRDefault="000F0826">
            <w:pPr>
              <w:spacing w:line="200" w:lineRule="auto"/>
              <w:jc w:val="right"/>
            </w:pPr>
            <w:r>
              <w:rPr>
                <w:sz w:val="20"/>
              </w:rPr>
              <w:t>162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4306656" w14:textId="77777777" w:rsidR="00F9392A" w:rsidRDefault="00F9392A"/>
        </w:tc>
        <w:tc>
          <w:tcPr>
            <w:tcW w:w="1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FD2A6E4" w14:textId="77777777" w:rsidR="00F9392A" w:rsidRDefault="000F0826">
            <w:pPr>
              <w:spacing w:line="200" w:lineRule="auto"/>
            </w:pPr>
            <w:r>
              <w:rPr>
                <w:sz w:val="20"/>
              </w:rPr>
              <w:t>$</w:t>
            </w:r>
          </w:p>
        </w:tc>
        <w:tc>
          <w:tcPr>
            <w:tcW w:w="159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F5954C3" w14:textId="77777777" w:rsidR="00F9392A" w:rsidRDefault="000F0826">
            <w:pPr>
              <w:spacing w:line="200" w:lineRule="auto"/>
              <w:jc w:val="right"/>
            </w:pPr>
            <w:r>
              <w:rPr>
                <w:sz w:val="20"/>
              </w:rPr>
              <w:t>140</w:t>
            </w:r>
          </w:p>
        </w:tc>
      </w:tr>
      <w:tr w:rsidR="00F9392A" w14:paraId="2399934E" w14:textId="77777777">
        <w:trPr>
          <w:trHeight w:hRule="exact" w:val="315"/>
          <w:jc w:val="center"/>
        </w:trPr>
        <w:tc>
          <w:tcPr>
            <w:tcW w:w="5925" w:type="dxa"/>
            <w:tcBorders>
              <w:top w:val="nil"/>
              <w:left w:val="nil"/>
              <w:bottom w:val="nil"/>
              <w:right w:val="nil"/>
            </w:tcBorders>
            <w:shd w:val="clear" w:color="auto" w:fill="auto"/>
            <w:tcMar>
              <w:top w:w="0" w:type="dxa"/>
              <w:left w:w="0" w:type="dxa"/>
              <w:bottom w:w="0" w:type="dxa"/>
              <w:right w:w="0" w:type="dxa"/>
            </w:tcMar>
            <w:vAlign w:val="bottom"/>
          </w:tcPr>
          <w:p w14:paraId="39474913" w14:textId="77777777" w:rsidR="00F9392A" w:rsidRDefault="00F9392A"/>
        </w:tc>
        <w:tc>
          <w:tcPr>
            <w:tcW w:w="75" w:type="dxa"/>
            <w:tcBorders>
              <w:top w:val="nil"/>
              <w:left w:val="nil"/>
              <w:bottom w:val="nil"/>
              <w:right w:val="nil"/>
            </w:tcBorders>
            <w:shd w:val="clear" w:color="auto" w:fill="auto"/>
            <w:tcMar>
              <w:top w:w="0" w:type="dxa"/>
              <w:left w:w="0" w:type="dxa"/>
              <w:bottom w:w="0" w:type="dxa"/>
              <w:right w:w="0" w:type="dxa"/>
            </w:tcMar>
            <w:vAlign w:val="bottom"/>
          </w:tcPr>
          <w:p w14:paraId="7ECB369D" w14:textId="77777777" w:rsidR="00F9392A" w:rsidRDefault="00F9392A"/>
        </w:tc>
        <w:tc>
          <w:tcPr>
            <w:tcW w:w="1755" w:type="dxa"/>
            <w:gridSpan w:val="2"/>
            <w:tcBorders>
              <w:top w:val="double" w:sz="8" w:space="0" w:color="000000"/>
              <w:left w:val="nil"/>
              <w:bottom w:val="nil"/>
              <w:right w:val="nil"/>
            </w:tcBorders>
            <w:shd w:val="clear" w:color="auto" w:fill="auto"/>
            <w:tcMar>
              <w:top w:w="0" w:type="dxa"/>
              <w:left w:w="0" w:type="dxa"/>
              <w:bottom w:w="0" w:type="dxa"/>
              <w:right w:w="0" w:type="dxa"/>
            </w:tcMar>
            <w:vAlign w:val="bottom"/>
          </w:tcPr>
          <w:p w14:paraId="54FB3319" w14:textId="77777777" w:rsidR="00F9392A" w:rsidRDefault="00F9392A"/>
        </w:tc>
        <w:tc>
          <w:tcPr>
            <w:tcW w:w="75" w:type="dxa"/>
            <w:tcBorders>
              <w:top w:val="nil"/>
              <w:left w:val="nil"/>
              <w:bottom w:val="nil"/>
              <w:right w:val="nil"/>
            </w:tcBorders>
            <w:shd w:val="clear" w:color="auto" w:fill="auto"/>
            <w:tcMar>
              <w:top w:w="0" w:type="dxa"/>
              <w:left w:w="0" w:type="dxa"/>
              <w:bottom w:w="0" w:type="dxa"/>
              <w:right w:w="0" w:type="dxa"/>
            </w:tcMar>
            <w:vAlign w:val="bottom"/>
          </w:tcPr>
          <w:p w14:paraId="43E42EE8" w14:textId="77777777" w:rsidR="00F9392A" w:rsidRDefault="00F9392A"/>
        </w:tc>
        <w:tc>
          <w:tcPr>
            <w:tcW w:w="1695" w:type="dxa"/>
            <w:gridSpan w:val="2"/>
            <w:tcBorders>
              <w:top w:val="double" w:sz="8" w:space="0" w:color="000000"/>
              <w:left w:val="nil"/>
              <w:bottom w:val="nil"/>
              <w:right w:val="nil"/>
            </w:tcBorders>
            <w:shd w:val="clear" w:color="auto" w:fill="auto"/>
            <w:tcMar>
              <w:top w:w="0" w:type="dxa"/>
              <w:left w:w="0" w:type="dxa"/>
              <w:bottom w:w="0" w:type="dxa"/>
              <w:right w:w="0" w:type="dxa"/>
            </w:tcMar>
            <w:vAlign w:val="bottom"/>
          </w:tcPr>
          <w:p w14:paraId="23E8588B" w14:textId="77777777" w:rsidR="00F9392A" w:rsidRDefault="00F9392A"/>
        </w:tc>
      </w:tr>
    </w:tbl>
    <w:p w14:paraId="55B4E3C3" w14:textId="77777777" w:rsidR="00F9392A" w:rsidRDefault="000F0826">
      <w:pPr>
        <w:spacing w:before="120"/>
        <w:ind w:left="720" w:hanging="180"/>
      </w:pPr>
      <w:r>
        <w:rPr>
          <w:i/>
          <w:color w:val="000000"/>
          <w:sz w:val="18"/>
          <w:vertAlign w:val="superscript"/>
        </w:rPr>
        <w:t>(1)</w:t>
      </w:r>
      <w:r>
        <w:rPr>
          <w:i/>
          <w:color w:val="000000"/>
          <w:sz w:val="18"/>
        </w:rPr>
        <w:t xml:space="preserve"> Amount represents both paid and accrued interest attributable to the period.</w:t>
      </w:r>
    </w:p>
    <w:p w14:paraId="1792942C" w14:textId="77777777" w:rsidR="00F9392A" w:rsidRDefault="00F9392A">
      <w:pPr>
        <w:ind w:left="180" w:hanging="180"/>
      </w:pPr>
    </w:p>
    <w:p w14:paraId="6D4B17C6" w14:textId="77777777" w:rsidR="00F9392A" w:rsidRDefault="000F0826">
      <w:r>
        <w:rPr>
          <w:color w:val="000000"/>
          <w:sz w:val="20"/>
        </w:rPr>
        <w:t>See</w:t>
      </w:r>
      <w:r>
        <w:rPr>
          <w:i/>
          <w:color w:val="000000"/>
          <w:sz w:val="20"/>
        </w:rPr>
        <w:t xml:space="preserve"> </w:t>
      </w:r>
      <w:r>
        <w:rPr>
          <w:color w:val="000000"/>
          <w:sz w:val="20"/>
        </w:rPr>
        <w:t>“</w:t>
      </w:r>
      <w:r>
        <w:rPr>
          <w:i/>
          <w:color w:val="000000"/>
          <w:sz w:val="20"/>
        </w:rPr>
        <w:t>Non-GAAP Financial Measures</w:t>
      </w:r>
      <w:r>
        <w:rPr>
          <w:color w:val="000000"/>
          <w:sz w:val="20"/>
        </w:rPr>
        <w:t>”</w:t>
      </w:r>
      <w:r>
        <w:rPr>
          <w:i/>
          <w:color w:val="000000"/>
          <w:sz w:val="20"/>
        </w:rPr>
        <w:t xml:space="preserve"> </w:t>
      </w:r>
      <w:r>
        <w:rPr>
          <w:color w:val="000000"/>
          <w:sz w:val="20"/>
        </w:rPr>
        <w:t>later in this press release.</w:t>
      </w:r>
    </w:p>
    <w:p w14:paraId="74DC052E" w14:textId="77777777" w:rsidR="00F9392A" w:rsidRDefault="00F9392A">
      <w:pPr>
        <w:jc w:val="both"/>
      </w:pPr>
    </w:p>
    <w:p w14:paraId="37BFB876" w14:textId="77777777" w:rsidR="00F9392A" w:rsidRDefault="00F9392A"/>
    <w:p w14:paraId="51145F5B" w14:textId="77777777" w:rsidR="00F9392A" w:rsidRDefault="00F9392A"/>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6"/>
        <w:gridCol w:w="74"/>
        <w:gridCol w:w="100"/>
        <w:gridCol w:w="1585"/>
        <w:gridCol w:w="74"/>
        <w:gridCol w:w="100"/>
        <w:gridCol w:w="1541"/>
      </w:tblGrid>
      <w:tr w:rsidR="00F9392A" w14:paraId="7951A9F4" w14:textId="77777777">
        <w:trPr>
          <w:trHeight w:hRule="exact" w:val="600"/>
          <w:jc w:val="center"/>
        </w:trPr>
        <w:tc>
          <w:tcPr>
            <w:tcW w:w="10020" w:type="dxa"/>
            <w:gridSpan w:val="7"/>
            <w:tcBorders>
              <w:top w:val="nil"/>
              <w:left w:val="nil"/>
              <w:bottom w:val="nil"/>
              <w:right w:val="nil"/>
            </w:tcBorders>
            <w:shd w:val="clear" w:color="auto" w:fill="auto"/>
            <w:tcMar>
              <w:top w:w="75" w:type="dxa"/>
              <w:left w:w="53" w:type="dxa"/>
              <w:bottom w:w="30" w:type="dxa"/>
              <w:right w:w="53" w:type="dxa"/>
            </w:tcMar>
            <w:vAlign w:val="bottom"/>
          </w:tcPr>
          <w:p w14:paraId="159B13C2" w14:textId="77777777" w:rsidR="00F9392A" w:rsidRDefault="000F0826">
            <w:pPr>
              <w:widowControl w:val="0"/>
              <w:spacing w:line="200" w:lineRule="auto"/>
            </w:pPr>
            <w:r>
              <w:rPr>
                <w:b/>
                <w:sz w:val="22"/>
              </w:rPr>
              <w:t>Reconciliation of Adjusted EBITDA and Cash Available for Distribution to Net Cash Provided by Operating Activit</w:t>
            </w:r>
            <w:r>
              <w:rPr>
                <w:b/>
                <w:sz w:val="22"/>
              </w:rPr>
              <w:t>ies</w:t>
            </w:r>
          </w:p>
        </w:tc>
      </w:tr>
      <w:tr w:rsidR="00F9392A" w14:paraId="5483DB12" w14:textId="77777777">
        <w:trPr>
          <w:trHeight w:hRule="exact" w:val="300"/>
          <w:jc w:val="center"/>
        </w:trPr>
        <w:tc>
          <w:tcPr>
            <w:tcW w:w="6525" w:type="dxa"/>
            <w:tcBorders>
              <w:top w:val="nil"/>
              <w:left w:val="nil"/>
              <w:bottom w:val="nil"/>
              <w:right w:val="nil"/>
            </w:tcBorders>
            <w:shd w:val="clear" w:color="auto" w:fill="auto"/>
            <w:tcMar>
              <w:top w:w="0" w:type="dxa"/>
              <w:left w:w="0" w:type="dxa"/>
              <w:bottom w:w="0" w:type="dxa"/>
              <w:right w:w="0" w:type="dxa"/>
            </w:tcMar>
            <w:vAlign w:val="bottom"/>
          </w:tcPr>
          <w:p w14:paraId="4CF1E37C" w14:textId="77777777" w:rsidR="00F9392A" w:rsidRDefault="00F9392A"/>
        </w:tc>
        <w:tc>
          <w:tcPr>
            <w:tcW w:w="75" w:type="dxa"/>
            <w:tcBorders>
              <w:top w:val="nil"/>
              <w:left w:val="nil"/>
              <w:bottom w:val="nil"/>
              <w:right w:val="nil"/>
            </w:tcBorders>
            <w:shd w:val="clear" w:color="auto" w:fill="auto"/>
            <w:tcMar>
              <w:top w:w="0" w:type="dxa"/>
              <w:left w:w="0" w:type="dxa"/>
              <w:bottom w:w="0" w:type="dxa"/>
              <w:right w:w="0" w:type="dxa"/>
            </w:tcMar>
            <w:vAlign w:val="bottom"/>
          </w:tcPr>
          <w:p w14:paraId="76B0F0F9" w14:textId="77777777" w:rsidR="00F9392A" w:rsidRDefault="00F9392A"/>
        </w:tc>
        <w:tc>
          <w:tcPr>
            <w:tcW w:w="3420" w:type="dxa"/>
            <w:gridSpan w:val="5"/>
            <w:tcBorders>
              <w:top w:val="nil"/>
              <w:left w:val="nil"/>
              <w:bottom w:val="nil"/>
              <w:right w:val="nil"/>
            </w:tcBorders>
            <w:shd w:val="clear" w:color="auto" w:fill="auto"/>
            <w:tcMar>
              <w:top w:w="75" w:type="dxa"/>
              <w:left w:w="53" w:type="dxa"/>
              <w:bottom w:w="30" w:type="dxa"/>
              <w:right w:w="53" w:type="dxa"/>
            </w:tcMar>
            <w:vAlign w:val="bottom"/>
          </w:tcPr>
          <w:p w14:paraId="7D1973FE" w14:textId="77777777" w:rsidR="00F9392A" w:rsidRDefault="000F0826">
            <w:pPr>
              <w:spacing w:line="200" w:lineRule="auto"/>
              <w:jc w:val="center"/>
            </w:pPr>
            <w:r>
              <w:rPr>
                <w:b/>
                <w:sz w:val="16"/>
              </w:rPr>
              <w:t>For the Three Months Ended</w:t>
            </w:r>
          </w:p>
        </w:tc>
      </w:tr>
      <w:tr w:rsidR="00F9392A" w14:paraId="12727D7C" w14:textId="77777777">
        <w:trPr>
          <w:trHeight w:hRule="exact" w:val="255"/>
          <w:jc w:val="center"/>
        </w:trPr>
        <w:tc>
          <w:tcPr>
            <w:tcW w:w="6525" w:type="dxa"/>
            <w:tcBorders>
              <w:top w:val="nil"/>
              <w:left w:val="nil"/>
              <w:bottom w:val="nil"/>
              <w:right w:val="nil"/>
            </w:tcBorders>
            <w:shd w:val="clear" w:color="auto" w:fill="auto"/>
            <w:tcMar>
              <w:top w:w="75" w:type="dxa"/>
              <w:left w:w="53" w:type="dxa"/>
              <w:bottom w:w="30" w:type="dxa"/>
              <w:right w:w="53" w:type="dxa"/>
            </w:tcMar>
            <w:vAlign w:val="bottom"/>
          </w:tcPr>
          <w:p w14:paraId="61782EDC" w14:textId="77777777" w:rsidR="00F9392A" w:rsidRDefault="00F9392A">
            <w:pPr>
              <w:spacing w:line="200" w:lineRule="auto"/>
            </w:pPr>
          </w:p>
        </w:tc>
        <w:tc>
          <w:tcPr>
            <w:tcW w:w="75" w:type="dxa"/>
            <w:tcBorders>
              <w:top w:val="nil"/>
              <w:left w:val="nil"/>
              <w:bottom w:val="nil"/>
              <w:right w:val="nil"/>
            </w:tcBorders>
            <w:shd w:val="clear" w:color="auto" w:fill="auto"/>
            <w:tcMar>
              <w:top w:w="0" w:type="dxa"/>
              <w:left w:w="0" w:type="dxa"/>
              <w:bottom w:w="0" w:type="dxa"/>
              <w:right w:w="0" w:type="dxa"/>
            </w:tcMar>
            <w:vAlign w:val="bottom"/>
          </w:tcPr>
          <w:p w14:paraId="5AAA8849" w14:textId="77777777" w:rsidR="00F9392A" w:rsidRDefault="00F9392A"/>
        </w:tc>
        <w:tc>
          <w:tcPr>
            <w:tcW w:w="1695"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14:paraId="5B3B349B" w14:textId="77777777" w:rsidR="00F9392A" w:rsidRDefault="000F0826">
            <w:pPr>
              <w:spacing w:line="200" w:lineRule="auto"/>
              <w:jc w:val="center"/>
            </w:pPr>
            <w:r>
              <w:rPr>
                <w:b/>
                <w:sz w:val="16"/>
              </w:rPr>
              <w:t>June 30, 2019</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14:paraId="095E0138" w14:textId="77777777" w:rsidR="00F9392A" w:rsidRDefault="00F9392A"/>
        </w:tc>
        <w:tc>
          <w:tcPr>
            <w:tcW w:w="1650"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14:paraId="76616BD3" w14:textId="77777777" w:rsidR="00F9392A" w:rsidRDefault="000F0826">
            <w:pPr>
              <w:spacing w:line="200" w:lineRule="auto"/>
              <w:jc w:val="center"/>
            </w:pPr>
            <w:r>
              <w:rPr>
                <w:b/>
                <w:sz w:val="16"/>
              </w:rPr>
              <w:t>March 31, 2019</w:t>
            </w:r>
          </w:p>
        </w:tc>
      </w:tr>
      <w:tr w:rsidR="00F9392A" w14:paraId="04AE9004" w14:textId="77777777">
        <w:trPr>
          <w:trHeight w:hRule="exact" w:val="300"/>
          <w:jc w:val="center"/>
        </w:trPr>
        <w:tc>
          <w:tcPr>
            <w:tcW w:w="6525" w:type="dxa"/>
            <w:tcBorders>
              <w:top w:val="nil"/>
              <w:left w:val="nil"/>
              <w:bottom w:val="nil"/>
              <w:right w:val="nil"/>
            </w:tcBorders>
            <w:shd w:val="clear" w:color="auto" w:fill="CCEEFF"/>
            <w:tcMar>
              <w:top w:w="75" w:type="dxa"/>
              <w:left w:w="53" w:type="dxa"/>
              <w:bottom w:w="30" w:type="dxa"/>
              <w:right w:w="53" w:type="dxa"/>
            </w:tcMar>
            <w:vAlign w:val="bottom"/>
          </w:tcPr>
          <w:p w14:paraId="4D44AD07" w14:textId="77777777" w:rsidR="00F9392A" w:rsidRDefault="000F0826">
            <w:pPr>
              <w:spacing w:line="200" w:lineRule="auto"/>
            </w:pPr>
            <w:r>
              <w:rPr>
                <w:sz w:val="20"/>
              </w:rPr>
              <w:t>Net cash provided by operating activities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AEBB1C" w14:textId="77777777" w:rsidR="00F9392A" w:rsidRDefault="00F9392A"/>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04D0BA4" w14:textId="77777777" w:rsidR="00F9392A" w:rsidRDefault="000F0826">
            <w:pPr>
              <w:spacing w:line="200" w:lineRule="auto"/>
            </w:pPr>
            <w:r>
              <w:rPr>
                <w:sz w:val="20"/>
              </w:rPr>
              <w:t>$</w:t>
            </w:r>
          </w:p>
        </w:tc>
        <w:tc>
          <w:tcPr>
            <w:tcW w:w="15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6C4970D" w14:textId="77777777" w:rsidR="00F9392A" w:rsidRDefault="000F0826">
            <w:pPr>
              <w:spacing w:line="200" w:lineRule="auto"/>
              <w:jc w:val="right"/>
            </w:pPr>
            <w:r>
              <w:rPr>
                <w:sz w:val="20"/>
              </w:rPr>
              <w:t>133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EE3ACF5" w14:textId="77777777" w:rsidR="00F9392A" w:rsidRDefault="00F9392A"/>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F6F07AD" w14:textId="77777777" w:rsidR="00F9392A" w:rsidRDefault="000F0826">
            <w:pPr>
              <w:spacing w:line="200" w:lineRule="auto"/>
            </w:pPr>
            <w:r>
              <w:rPr>
                <w:sz w:val="20"/>
              </w:rPr>
              <w:t>$</w:t>
            </w:r>
          </w:p>
        </w:tc>
        <w:tc>
          <w:tcPr>
            <w:tcW w:w="155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1863511" w14:textId="77777777" w:rsidR="00F9392A" w:rsidRDefault="000F0826">
            <w:pPr>
              <w:spacing w:line="200" w:lineRule="auto"/>
              <w:jc w:val="right"/>
            </w:pPr>
            <w:r>
              <w:rPr>
                <w:sz w:val="20"/>
              </w:rPr>
              <w:t>150</w:t>
            </w:r>
          </w:p>
        </w:tc>
      </w:tr>
      <w:tr w:rsidR="00F9392A" w14:paraId="63C62837" w14:textId="77777777">
        <w:trPr>
          <w:trHeight w:hRule="exact" w:val="300"/>
          <w:jc w:val="center"/>
        </w:trPr>
        <w:tc>
          <w:tcPr>
            <w:tcW w:w="6525" w:type="dxa"/>
            <w:tcBorders>
              <w:top w:val="nil"/>
              <w:left w:val="nil"/>
              <w:bottom w:val="nil"/>
              <w:right w:val="nil"/>
            </w:tcBorders>
            <w:shd w:val="clear" w:color="auto" w:fill="FFFFFF"/>
            <w:tcMar>
              <w:top w:w="75" w:type="dxa"/>
              <w:left w:w="53" w:type="dxa"/>
              <w:bottom w:w="30" w:type="dxa"/>
              <w:right w:w="53" w:type="dxa"/>
            </w:tcMar>
            <w:vAlign w:val="bottom"/>
          </w:tcPr>
          <w:p w14:paraId="37D79DD4" w14:textId="77777777" w:rsidR="00F9392A" w:rsidRDefault="000F0826">
            <w:pPr>
              <w:spacing w:line="200" w:lineRule="auto"/>
            </w:pPr>
            <w:r>
              <w:rPr>
                <w:sz w:val="20"/>
              </w:rPr>
              <w:t>Add: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5CEA694" w14:textId="77777777" w:rsidR="00F9392A" w:rsidRDefault="00F9392A"/>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43D9706E" w14:textId="77777777" w:rsidR="00F9392A" w:rsidRDefault="00F9392A"/>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7BAFEAF" w14:textId="77777777" w:rsidR="00F9392A" w:rsidRDefault="00F9392A"/>
        </w:tc>
        <w:tc>
          <w:tcPr>
            <w:tcW w:w="1650" w:type="dxa"/>
            <w:gridSpan w:val="2"/>
            <w:tcBorders>
              <w:top w:val="nil"/>
              <w:left w:val="nil"/>
              <w:bottom w:val="nil"/>
              <w:right w:val="nil"/>
            </w:tcBorders>
            <w:shd w:val="clear" w:color="auto" w:fill="FFFFFF"/>
            <w:tcMar>
              <w:top w:w="0" w:type="dxa"/>
              <w:left w:w="0" w:type="dxa"/>
              <w:bottom w:w="0" w:type="dxa"/>
              <w:right w:w="0" w:type="dxa"/>
            </w:tcMar>
            <w:vAlign w:val="bottom"/>
          </w:tcPr>
          <w:p w14:paraId="2BC9476F" w14:textId="77777777" w:rsidR="00F9392A" w:rsidRDefault="00F9392A"/>
        </w:tc>
      </w:tr>
      <w:tr w:rsidR="00F9392A" w14:paraId="645FDB4C" w14:textId="77777777">
        <w:trPr>
          <w:trHeight w:hRule="exact" w:val="300"/>
          <w:jc w:val="center"/>
        </w:trPr>
        <w:tc>
          <w:tcPr>
            <w:tcW w:w="6525" w:type="dxa"/>
            <w:tcBorders>
              <w:top w:val="nil"/>
              <w:left w:val="nil"/>
              <w:bottom w:val="nil"/>
              <w:right w:val="nil"/>
            </w:tcBorders>
            <w:shd w:val="clear" w:color="auto" w:fill="CCEEFF"/>
            <w:tcMar>
              <w:top w:w="75" w:type="dxa"/>
              <w:left w:w="173" w:type="dxa"/>
              <w:bottom w:w="30" w:type="dxa"/>
              <w:right w:w="53" w:type="dxa"/>
            </w:tcMar>
            <w:vAlign w:val="bottom"/>
          </w:tcPr>
          <w:p w14:paraId="4401BD57" w14:textId="77777777" w:rsidR="00F9392A" w:rsidRDefault="000F0826">
            <w:pPr>
              <w:spacing w:line="200" w:lineRule="auto"/>
            </w:pPr>
            <w:r>
              <w:rPr>
                <w:sz w:val="20"/>
              </w:rPr>
              <w:t>Interest expense, net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1C99A02" w14:textId="77777777" w:rsidR="00F9392A" w:rsidRDefault="00F9392A"/>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7E260BAD" w14:textId="77777777" w:rsidR="00F9392A" w:rsidRDefault="000F0826">
            <w:pPr>
              <w:spacing w:line="200" w:lineRule="auto"/>
              <w:jc w:val="right"/>
            </w:pPr>
            <w:r>
              <w:rPr>
                <w:sz w:val="20"/>
              </w:rPr>
              <w:t>21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9ADA98" w14:textId="77777777" w:rsidR="00F9392A" w:rsidRDefault="00F9392A"/>
        </w:tc>
        <w:tc>
          <w:tcPr>
            <w:tcW w:w="1650" w:type="dxa"/>
            <w:gridSpan w:val="2"/>
            <w:tcBorders>
              <w:top w:val="nil"/>
              <w:left w:val="nil"/>
              <w:bottom w:val="nil"/>
              <w:right w:val="nil"/>
            </w:tcBorders>
            <w:shd w:val="clear" w:color="auto" w:fill="CCEEFF"/>
            <w:tcMar>
              <w:top w:w="0" w:type="dxa"/>
              <w:left w:w="0" w:type="dxa"/>
              <w:bottom w:w="0" w:type="dxa"/>
              <w:right w:w="0" w:type="dxa"/>
            </w:tcMar>
            <w:vAlign w:val="bottom"/>
          </w:tcPr>
          <w:p w14:paraId="13C0BEAE" w14:textId="77777777" w:rsidR="00F9392A" w:rsidRDefault="000F0826">
            <w:pPr>
              <w:spacing w:line="200" w:lineRule="auto"/>
              <w:jc w:val="right"/>
            </w:pPr>
            <w:r>
              <w:rPr>
                <w:sz w:val="20"/>
              </w:rPr>
              <w:t>20</w:t>
            </w:r>
          </w:p>
        </w:tc>
      </w:tr>
      <w:tr w:rsidR="00F9392A" w14:paraId="27BB638E" w14:textId="77777777">
        <w:trPr>
          <w:trHeight w:hRule="exact" w:val="300"/>
          <w:jc w:val="center"/>
        </w:trPr>
        <w:tc>
          <w:tcPr>
            <w:tcW w:w="6525" w:type="dxa"/>
            <w:tcBorders>
              <w:top w:val="nil"/>
              <w:left w:val="nil"/>
              <w:bottom w:val="nil"/>
              <w:right w:val="nil"/>
            </w:tcBorders>
            <w:shd w:val="clear" w:color="auto" w:fill="FFFFFF"/>
            <w:tcMar>
              <w:top w:w="75" w:type="dxa"/>
              <w:left w:w="173" w:type="dxa"/>
              <w:bottom w:w="30" w:type="dxa"/>
              <w:right w:w="53" w:type="dxa"/>
            </w:tcMar>
            <w:vAlign w:val="bottom"/>
          </w:tcPr>
          <w:p w14:paraId="4C6CD464" w14:textId="77777777" w:rsidR="00F9392A" w:rsidRDefault="000F0826">
            <w:pPr>
              <w:spacing w:line="200" w:lineRule="auto"/>
            </w:pPr>
            <w:r>
              <w:rPr>
                <w:sz w:val="20"/>
              </w:rPr>
              <w:t>Income tax expense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61CDBBF" w14:textId="77777777" w:rsidR="00F9392A" w:rsidRDefault="00F9392A"/>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1C26D294" w14:textId="77777777" w:rsidR="00F9392A" w:rsidRDefault="000F0826">
            <w:pPr>
              <w:spacing w:line="200" w:lineRule="auto"/>
              <w:jc w:val="right"/>
            </w:pPr>
            <w:r>
              <w:rPr>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8694758" w14:textId="77777777" w:rsidR="00F9392A" w:rsidRDefault="00F9392A"/>
        </w:tc>
        <w:tc>
          <w:tcPr>
            <w:tcW w:w="1650" w:type="dxa"/>
            <w:gridSpan w:val="2"/>
            <w:tcBorders>
              <w:top w:val="nil"/>
              <w:left w:val="nil"/>
              <w:bottom w:val="nil"/>
              <w:right w:val="nil"/>
            </w:tcBorders>
            <w:shd w:val="clear" w:color="auto" w:fill="FFFFFF"/>
            <w:tcMar>
              <w:top w:w="0" w:type="dxa"/>
              <w:left w:w="0" w:type="dxa"/>
              <w:bottom w:w="0" w:type="dxa"/>
              <w:right w:w="0" w:type="dxa"/>
            </w:tcMar>
            <w:vAlign w:val="bottom"/>
          </w:tcPr>
          <w:p w14:paraId="19E2AAB3" w14:textId="77777777" w:rsidR="00F9392A" w:rsidRDefault="000F0826">
            <w:pPr>
              <w:spacing w:line="200" w:lineRule="auto"/>
              <w:jc w:val="right"/>
            </w:pPr>
            <w:r>
              <w:rPr>
                <w:sz w:val="20"/>
              </w:rPr>
              <w:t>—</w:t>
            </w:r>
          </w:p>
        </w:tc>
      </w:tr>
      <w:tr w:rsidR="00F9392A" w14:paraId="2D944E7F" w14:textId="77777777">
        <w:trPr>
          <w:trHeight w:hRule="exact" w:val="300"/>
          <w:jc w:val="center"/>
        </w:trPr>
        <w:tc>
          <w:tcPr>
            <w:tcW w:w="6525" w:type="dxa"/>
            <w:tcBorders>
              <w:top w:val="nil"/>
              <w:left w:val="nil"/>
              <w:bottom w:val="nil"/>
              <w:right w:val="nil"/>
            </w:tcBorders>
            <w:shd w:val="clear" w:color="auto" w:fill="CCEEFF"/>
            <w:tcMar>
              <w:top w:w="75" w:type="dxa"/>
              <w:left w:w="173" w:type="dxa"/>
              <w:bottom w:w="30" w:type="dxa"/>
              <w:right w:w="53" w:type="dxa"/>
            </w:tcMar>
            <w:vAlign w:val="bottom"/>
          </w:tcPr>
          <w:p w14:paraId="5AE6FFD9" w14:textId="77777777" w:rsidR="00F9392A" w:rsidRDefault="000F0826">
            <w:pPr>
              <w:spacing w:line="200" w:lineRule="auto"/>
            </w:pPr>
            <w:r>
              <w:rPr>
                <w:sz w:val="20"/>
              </w:rPr>
              <w:t>Return of investment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AF209B0" w14:textId="77777777" w:rsidR="00F9392A" w:rsidRDefault="00F9392A"/>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626A8751" w14:textId="77777777" w:rsidR="00F9392A" w:rsidRDefault="000F0826">
            <w:pPr>
              <w:spacing w:line="200" w:lineRule="auto"/>
              <w:jc w:val="right"/>
            </w:pPr>
            <w:r>
              <w:rPr>
                <w:sz w:val="20"/>
              </w:rPr>
              <w:t>39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BD61B4C" w14:textId="77777777" w:rsidR="00F9392A" w:rsidRDefault="00F9392A"/>
        </w:tc>
        <w:tc>
          <w:tcPr>
            <w:tcW w:w="1650" w:type="dxa"/>
            <w:gridSpan w:val="2"/>
            <w:tcBorders>
              <w:top w:val="nil"/>
              <w:left w:val="nil"/>
              <w:bottom w:val="nil"/>
              <w:right w:val="nil"/>
            </w:tcBorders>
            <w:shd w:val="clear" w:color="auto" w:fill="CCEEFF"/>
            <w:tcMar>
              <w:top w:w="0" w:type="dxa"/>
              <w:left w:w="0" w:type="dxa"/>
              <w:bottom w:w="0" w:type="dxa"/>
              <w:right w:w="0" w:type="dxa"/>
            </w:tcMar>
            <w:vAlign w:val="bottom"/>
          </w:tcPr>
          <w:p w14:paraId="4FE20987" w14:textId="77777777" w:rsidR="00F9392A" w:rsidRDefault="000F0826">
            <w:pPr>
              <w:spacing w:line="200" w:lineRule="auto"/>
              <w:jc w:val="right"/>
            </w:pPr>
            <w:r>
              <w:rPr>
                <w:sz w:val="20"/>
              </w:rPr>
              <w:t>8</w:t>
            </w:r>
          </w:p>
        </w:tc>
      </w:tr>
      <w:tr w:rsidR="00F9392A" w14:paraId="5E6F57FD" w14:textId="77777777">
        <w:trPr>
          <w:trHeight w:hRule="exact" w:val="300"/>
          <w:jc w:val="center"/>
        </w:trPr>
        <w:tc>
          <w:tcPr>
            <w:tcW w:w="6525" w:type="dxa"/>
            <w:tcBorders>
              <w:top w:val="nil"/>
              <w:left w:val="nil"/>
              <w:bottom w:val="nil"/>
              <w:right w:val="nil"/>
            </w:tcBorders>
            <w:shd w:val="clear" w:color="auto" w:fill="FFFFFF"/>
            <w:tcMar>
              <w:top w:w="75" w:type="dxa"/>
              <w:left w:w="53" w:type="dxa"/>
              <w:bottom w:w="30" w:type="dxa"/>
              <w:right w:w="53" w:type="dxa"/>
            </w:tcMar>
            <w:vAlign w:val="bottom"/>
          </w:tcPr>
          <w:p w14:paraId="2D94186F" w14:textId="77777777" w:rsidR="00F9392A" w:rsidRDefault="000F0826">
            <w:pPr>
              <w:spacing w:line="200" w:lineRule="auto"/>
            </w:pPr>
            <w:r>
              <w:rPr>
                <w:sz w:val="20"/>
              </w:rPr>
              <w:t>Less: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7A19F1" w14:textId="77777777" w:rsidR="00F9392A" w:rsidRDefault="00F9392A"/>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5841EE31" w14:textId="77777777" w:rsidR="00F9392A" w:rsidRDefault="00F9392A"/>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45BBE1E" w14:textId="77777777" w:rsidR="00F9392A" w:rsidRDefault="00F9392A"/>
        </w:tc>
        <w:tc>
          <w:tcPr>
            <w:tcW w:w="1650" w:type="dxa"/>
            <w:gridSpan w:val="2"/>
            <w:tcBorders>
              <w:top w:val="nil"/>
              <w:left w:val="nil"/>
              <w:bottom w:val="nil"/>
              <w:right w:val="nil"/>
            </w:tcBorders>
            <w:shd w:val="clear" w:color="auto" w:fill="FFFFFF"/>
            <w:tcMar>
              <w:top w:w="0" w:type="dxa"/>
              <w:left w:w="0" w:type="dxa"/>
              <w:bottom w:w="0" w:type="dxa"/>
              <w:right w:w="0" w:type="dxa"/>
            </w:tcMar>
            <w:vAlign w:val="bottom"/>
          </w:tcPr>
          <w:p w14:paraId="7E996973" w14:textId="77777777" w:rsidR="00F9392A" w:rsidRDefault="00F9392A"/>
        </w:tc>
      </w:tr>
      <w:tr w:rsidR="00F9392A" w14:paraId="672B4188" w14:textId="77777777">
        <w:trPr>
          <w:trHeight w:hRule="exact" w:val="315"/>
          <w:jc w:val="center"/>
        </w:trPr>
        <w:tc>
          <w:tcPr>
            <w:tcW w:w="6525" w:type="dxa"/>
            <w:tcBorders>
              <w:top w:val="nil"/>
              <w:left w:val="nil"/>
              <w:bottom w:val="nil"/>
              <w:right w:val="nil"/>
            </w:tcBorders>
            <w:shd w:val="clear" w:color="auto" w:fill="CCEEFF"/>
            <w:tcMar>
              <w:top w:w="75" w:type="dxa"/>
              <w:left w:w="173" w:type="dxa"/>
              <w:bottom w:w="30" w:type="dxa"/>
              <w:right w:w="53" w:type="dxa"/>
            </w:tcMar>
            <w:vAlign w:val="bottom"/>
          </w:tcPr>
          <w:p w14:paraId="708F5E72" w14:textId="77777777" w:rsidR="00F9392A" w:rsidRDefault="000F0826">
            <w:pPr>
              <w:spacing w:line="200" w:lineRule="auto"/>
            </w:pPr>
            <w:r>
              <w:rPr>
                <w:sz w:val="20"/>
              </w:rPr>
              <w:t xml:space="preserve">Change in </w:t>
            </w:r>
            <w:r>
              <w:rPr>
                <w:sz w:val="20"/>
              </w:rPr>
              <w:t>deferred revenue and other unearned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7273DF0" w14:textId="77777777" w:rsidR="00F9392A" w:rsidRDefault="00F9392A"/>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47800A36" w14:textId="77777777" w:rsidR="00F9392A" w:rsidRDefault="000F0826">
            <w:pPr>
              <w:spacing w:line="200" w:lineRule="auto"/>
              <w:jc w:val="right"/>
            </w:pPr>
            <w:r>
              <w:rPr>
                <w:sz w:val="20"/>
              </w:rPr>
              <w:t>(3)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149449" w14:textId="77777777" w:rsidR="00F9392A" w:rsidRDefault="00F9392A"/>
        </w:tc>
        <w:tc>
          <w:tcPr>
            <w:tcW w:w="1650" w:type="dxa"/>
            <w:gridSpan w:val="2"/>
            <w:tcBorders>
              <w:top w:val="nil"/>
              <w:left w:val="nil"/>
              <w:bottom w:val="nil"/>
              <w:right w:val="nil"/>
            </w:tcBorders>
            <w:shd w:val="clear" w:color="auto" w:fill="CCEEFF"/>
            <w:tcMar>
              <w:top w:w="0" w:type="dxa"/>
              <w:left w:w="0" w:type="dxa"/>
              <w:bottom w:w="0" w:type="dxa"/>
              <w:right w:w="0" w:type="dxa"/>
            </w:tcMar>
            <w:vAlign w:val="bottom"/>
          </w:tcPr>
          <w:p w14:paraId="2E895FC1" w14:textId="77777777" w:rsidR="00F9392A" w:rsidRDefault="000F0826">
            <w:pPr>
              <w:spacing w:line="200" w:lineRule="auto"/>
              <w:jc w:val="right"/>
            </w:pPr>
            <w:r>
              <w:rPr>
                <w:sz w:val="20"/>
              </w:rPr>
              <w:t>(8)</w:t>
            </w:r>
          </w:p>
        </w:tc>
      </w:tr>
      <w:tr w:rsidR="00F9392A" w14:paraId="102941EE" w14:textId="77777777">
        <w:trPr>
          <w:trHeight w:hRule="exact" w:val="300"/>
          <w:jc w:val="center"/>
        </w:trPr>
        <w:tc>
          <w:tcPr>
            <w:tcW w:w="6525" w:type="dxa"/>
            <w:tcBorders>
              <w:top w:val="nil"/>
              <w:left w:val="nil"/>
              <w:bottom w:val="nil"/>
              <w:right w:val="nil"/>
            </w:tcBorders>
            <w:shd w:val="clear" w:color="auto" w:fill="FFFFFF"/>
            <w:tcMar>
              <w:top w:w="75" w:type="dxa"/>
              <w:left w:w="173" w:type="dxa"/>
              <w:bottom w:w="30" w:type="dxa"/>
              <w:right w:w="53" w:type="dxa"/>
            </w:tcMar>
            <w:vAlign w:val="bottom"/>
          </w:tcPr>
          <w:p w14:paraId="017DF71F" w14:textId="77777777" w:rsidR="00F9392A" w:rsidRDefault="000F0826">
            <w:pPr>
              <w:spacing w:line="200" w:lineRule="auto"/>
            </w:pPr>
            <w:r>
              <w:rPr>
                <w:sz w:val="20"/>
              </w:rPr>
              <w:t>Change in other assets and 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87E0546" w14:textId="77777777" w:rsidR="00F9392A" w:rsidRDefault="00F9392A"/>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759D444A" w14:textId="77777777" w:rsidR="00F9392A" w:rsidRDefault="000F0826">
            <w:pPr>
              <w:spacing w:line="200" w:lineRule="auto"/>
              <w:jc w:val="right"/>
            </w:pPr>
            <w:r>
              <w:rPr>
                <w:sz w:val="20"/>
              </w:rPr>
              <w:t>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D51CBD6" w14:textId="77777777" w:rsidR="00F9392A" w:rsidRDefault="00F9392A"/>
        </w:tc>
        <w:tc>
          <w:tcPr>
            <w:tcW w:w="1650" w:type="dxa"/>
            <w:gridSpan w:val="2"/>
            <w:tcBorders>
              <w:top w:val="nil"/>
              <w:left w:val="nil"/>
              <w:bottom w:val="nil"/>
              <w:right w:val="nil"/>
            </w:tcBorders>
            <w:shd w:val="clear" w:color="auto" w:fill="FFFFFF"/>
            <w:tcMar>
              <w:top w:w="0" w:type="dxa"/>
              <w:left w:w="0" w:type="dxa"/>
              <w:bottom w:w="0" w:type="dxa"/>
              <w:right w:w="0" w:type="dxa"/>
            </w:tcMar>
            <w:vAlign w:val="bottom"/>
          </w:tcPr>
          <w:p w14:paraId="36059B72" w14:textId="77777777" w:rsidR="00F9392A" w:rsidRDefault="000F0826">
            <w:pPr>
              <w:spacing w:line="200" w:lineRule="auto"/>
              <w:jc w:val="right"/>
            </w:pPr>
            <w:r>
              <w:rPr>
                <w:sz w:val="20"/>
              </w:rPr>
              <w:t>10</w:t>
            </w:r>
          </w:p>
        </w:tc>
      </w:tr>
      <w:tr w:rsidR="00F9392A" w14:paraId="752CB429" w14:textId="77777777">
        <w:trPr>
          <w:trHeight w:hRule="exact" w:val="300"/>
          <w:jc w:val="center"/>
        </w:trPr>
        <w:tc>
          <w:tcPr>
            <w:tcW w:w="6525" w:type="dxa"/>
            <w:tcBorders>
              <w:top w:val="nil"/>
              <w:left w:val="nil"/>
              <w:bottom w:val="nil"/>
              <w:right w:val="nil"/>
            </w:tcBorders>
            <w:shd w:val="clear" w:color="auto" w:fill="CCEEFF"/>
            <w:tcMar>
              <w:top w:w="75" w:type="dxa"/>
              <w:left w:w="53" w:type="dxa"/>
              <w:bottom w:w="30" w:type="dxa"/>
              <w:right w:w="53" w:type="dxa"/>
            </w:tcMar>
            <w:vAlign w:val="bottom"/>
          </w:tcPr>
          <w:p w14:paraId="19D2EEF3" w14:textId="77777777" w:rsidR="00F9392A" w:rsidRDefault="000F0826">
            <w:pPr>
              <w:spacing w:line="200" w:lineRule="auto"/>
            </w:pPr>
            <w:r>
              <w:rPr>
                <w:sz w:val="20"/>
              </w:rPr>
              <w:t>Adjusted EBITDA</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25AF8D" w14:textId="77777777" w:rsidR="00F9392A" w:rsidRDefault="00F9392A"/>
        </w:tc>
        <w:tc>
          <w:tcPr>
            <w:tcW w:w="169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14:paraId="5CCC94CE" w14:textId="77777777" w:rsidR="00F9392A" w:rsidRDefault="000F0826">
            <w:pPr>
              <w:spacing w:line="200" w:lineRule="auto"/>
              <w:jc w:val="right"/>
            </w:pPr>
            <w:r>
              <w:rPr>
                <w:sz w:val="20"/>
              </w:rPr>
              <w:t>191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F7581D9" w14:textId="77777777" w:rsidR="00F9392A" w:rsidRDefault="00F9392A"/>
        </w:tc>
        <w:tc>
          <w:tcPr>
            <w:tcW w:w="165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14:paraId="4A032199" w14:textId="77777777" w:rsidR="00F9392A" w:rsidRDefault="000F0826">
            <w:pPr>
              <w:spacing w:line="200" w:lineRule="auto"/>
              <w:jc w:val="right"/>
            </w:pPr>
            <w:r>
              <w:rPr>
                <w:sz w:val="20"/>
              </w:rPr>
              <w:t>176</w:t>
            </w:r>
          </w:p>
        </w:tc>
      </w:tr>
      <w:tr w:rsidR="00F9392A" w14:paraId="4AEFECA5" w14:textId="77777777">
        <w:trPr>
          <w:trHeight w:hRule="exact" w:val="300"/>
          <w:jc w:val="center"/>
        </w:trPr>
        <w:tc>
          <w:tcPr>
            <w:tcW w:w="6525" w:type="dxa"/>
            <w:tcBorders>
              <w:top w:val="nil"/>
              <w:left w:val="nil"/>
              <w:bottom w:val="nil"/>
              <w:right w:val="nil"/>
            </w:tcBorders>
            <w:shd w:val="clear" w:color="auto" w:fill="FFFFFF"/>
            <w:tcMar>
              <w:top w:w="75" w:type="dxa"/>
              <w:left w:w="53" w:type="dxa"/>
              <w:bottom w:w="30" w:type="dxa"/>
              <w:right w:w="53" w:type="dxa"/>
            </w:tcMar>
            <w:vAlign w:val="bottom"/>
          </w:tcPr>
          <w:p w14:paraId="4F0870F8" w14:textId="77777777" w:rsidR="00F9392A" w:rsidRDefault="000F0826">
            <w:pPr>
              <w:spacing w:line="200" w:lineRule="auto"/>
            </w:pPr>
            <w:r>
              <w:rPr>
                <w:sz w:val="20"/>
              </w:rPr>
              <w:t>Less: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1E2BF7A" w14:textId="77777777" w:rsidR="00F9392A" w:rsidRDefault="00F9392A"/>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42D85594" w14:textId="77777777" w:rsidR="00F9392A" w:rsidRDefault="00F9392A"/>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057F9B1" w14:textId="77777777" w:rsidR="00F9392A" w:rsidRDefault="00F9392A"/>
        </w:tc>
        <w:tc>
          <w:tcPr>
            <w:tcW w:w="1650" w:type="dxa"/>
            <w:gridSpan w:val="2"/>
            <w:tcBorders>
              <w:top w:val="nil"/>
              <w:left w:val="nil"/>
              <w:bottom w:val="nil"/>
              <w:right w:val="nil"/>
            </w:tcBorders>
            <w:shd w:val="clear" w:color="auto" w:fill="FFFFFF"/>
            <w:tcMar>
              <w:top w:w="0" w:type="dxa"/>
              <w:left w:w="0" w:type="dxa"/>
              <w:bottom w:w="0" w:type="dxa"/>
              <w:right w:w="0" w:type="dxa"/>
            </w:tcMar>
            <w:vAlign w:val="bottom"/>
          </w:tcPr>
          <w:p w14:paraId="4A12B67E" w14:textId="77777777" w:rsidR="00F9392A" w:rsidRDefault="00F9392A"/>
        </w:tc>
      </w:tr>
      <w:tr w:rsidR="00F9392A" w14:paraId="7734FE0C" w14:textId="77777777">
        <w:trPr>
          <w:trHeight w:hRule="exact" w:val="315"/>
          <w:jc w:val="center"/>
        </w:trPr>
        <w:tc>
          <w:tcPr>
            <w:tcW w:w="6525" w:type="dxa"/>
            <w:tcBorders>
              <w:top w:val="nil"/>
              <w:left w:val="nil"/>
              <w:bottom w:val="nil"/>
              <w:right w:val="nil"/>
            </w:tcBorders>
            <w:shd w:val="clear" w:color="auto" w:fill="CCEEFF"/>
            <w:tcMar>
              <w:top w:w="75" w:type="dxa"/>
              <w:left w:w="173" w:type="dxa"/>
              <w:bottom w:w="30" w:type="dxa"/>
              <w:right w:w="53" w:type="dxa"/>
            </w:tcMar>
            <w:vAlign w:val="bottom"/>
          </w:tcPr>
          <w:p w14:paraId="71565B3E" w14:textId="77777777" w:rsidR="00F9392A" w:rsidRDefault="000F0826">
            <w:pPr>
              <w:spacing w:line="200" w:lineRule="auto"/>
            </w:pPr>
            <w:r>
              <w:rPr>
                <w:sz w:val="20"/>
              </w:rPr>
              <w:t>Adjusted EBITDA attributable to noncontrolling interests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8F7498B" w14:textId="77777777" w:rsidR="00F9392A" w:rsidRDefault="00F9392A"/>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61CD2240" w14:textId="77777777" w:rsidR="00F9392A" w:rsidRDefault="000F0826">
            <w:pPr>
              <w:spacing w:line="200" w:lineRule="auto"/>
              <w:jc w:val="right"/>
            </w:pPr>
            <w:r>
              <w:rPr>
                <w:sz w:val="20"/>
              </w:rPr>
              <w:t>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5A7D967" w14:textId="77777777" w:rsidR="00F9392A" w:rsidRDefault="00F9392A"/>
        </w:tc>
        <w:tc>
          <w:tcPr>
            <w:tcW w:w="1650" w:type="dxa"/>
            <w:gridSpan w:val="2"/>
            <w:tcBorders>
              <w:top w:val="nil"/>
              <w:left w:val="nil"/>
              <w:bottom w:val="nil"/>
              <w:right w:val="nil"/>
            </w:tcBorders>
            <w:shd w:val="clear" w:color="auto" w:fill="CCEEFF"/>
            <w:tcMar>
              <w:top w:w="0" w:type="dxa"/>
              <w:left w:w="0" w:type="dxa"/>
              <w:bottom w:w="0" w:type="dxa"/>
              <w:right w:w="0" w:type="dxa"/>
            </w:tcMar>
            <w:vAlign w:val="bottom"/>
          </w:tcPr>
          <w:p w14:paraId="634C0A53" w14:textId="77777777" w:rsidR="00F9392A" w:rsidRDefault="000F0826">
            <w:pPr>
              <w:spacing w:line="200" w:lineRule="auto"/>
              <w:jc w:val="right"/>
            </w:pPr>
            <w:r>
              <w:rPr>
                <w:sz w:val="20"/>
              </w:rPr>
              <w:t>6</w:t>
            </w:r>
          </w:p>
        </w:tc>
      </w:tr>
      <w:tr w:rsidR="00F9392A" w14:paraId="37DC30A5" w14:textId="77777777">
        <w:trPr>
          <w:trHeight w:hRule="exact" w:val="300"/>
          <w:jc w:val="center"/>
        </w:trPr>
        <w:tc>
          <w:tcPr>
            <w:tcW w:w="6525" w:type="dxa"/>
            <w:tcBorders>
              <w:top w:val="nil"/>
              <w:left w:val="nil"/>
              <w:bottom w:val="nil"/>
              <w:right w:val="nil"/>
            </w:tcBorders>
            <w:shd w:val="clear" w:color="auto" w:fill="FFFFFF"/>
            <w:tcMar>
              <w:top w:w="75" w:type="dxa"/>
              <w:left w:w="53" w:type="dxa"/>
              <w:bottom w:w="30" w:type="dxa"/>
              <w:right w:w="53" w:type="dxa"/>
            </w:tcMar>
            <w:vAlign w:val="bottom"/>
          </w:tcPr>
          <w:p w14:paraId="470301C7" w14:textId="77777777" w:rsidR="00F9392A" w:rsidRDefault="000F0826">
            <w:pPr>
              <w:spacing w:line="200" w:lineRule="auto"/>
            </w:pPr>
            <w:r>
              <w:rPr>
                <w:sz w:val="20"/>
              </w:rPr>
              <w:t xml:space="preserve">Adjusted EBITDA attributable to the </w:t>
            </w:r>
            <w:r>
              <w:rPr>
                <w:sz w:val="20"/>
              </w:rPr>
              <w:t>Partnership</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9680D07" w14:textId="77777777" w:rsidR="00F9392A" w:rsidRDefault="00F9392A"/>
        </w:tc>
        <w:tc>
          <w:tcPr>
            <w:tcW w:w="1695"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07C8A84D" w14:textId="77777777" w:rsidR="00F9392A" w:rsidRDefault="000F0826">
            <w:pPr>
              <w:spacing w:line="200" w:lineRule="auto"/>
              <w:jc w:val="right"/>
            </w:pPr>
            <w:r>
              <w:rPr>
                <w:sz w:val="20"/>
              </w:rPr>
              <w:t>187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7ED54E2" w14:textId="77777777" w:rsidR="00F9392A" w:rsidRDefault="00F9392A"/>
        </w:tc>
        <w:tc>
          <w:tcPr>
            <w:tcW w:w="165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26DE43CF" w14:textId="77777777" w:rsidR="00F9392A" w:rsidRDefault="000F0826">
            <w:pPr>
              <w:spacing w:line="200" w:lineRule="auto"/>
              <w:jc w:val="right"/>
            </w:pPr>
            <w:r>
              <w:rPr>
                <w:sz w:val="20"/>
              </w:rPr>
              <w:t>170</w:t>
            </w:r>
          </w:p>
        </w:tc>
      </w:tr>
      <w:tr w:rsidR="00F9392A" w14:paraId="79986419" w14:textId="77777777">
        <w:trPr>
          <w:trHeight w:hRule="exact" w:val="300"/>
          <w:jc w:val="center"/>
        </w:trPr>
        <w:tc>
          <w:tcPr>
            <w:tcW w:w="6525" w:type="dxa"/>
            <w:tcBorders>
              <w:top w:val="nil"/>
              <w:left w:val="nil"/>
              <w:bottom w:val="nil"/>
              <w:right w:val="nil"/>
            </w:tcBorders>
            <w:shd w:val="clear" w:color="auto" w:fill="CCEEFF"/>
            <w:tcMar>
              <w:top w:w="75" w:type="dxa"/>
              <w:left w:w="53" w:type="dxa"/>
              <w:bottom w:w="30" w:type="dxa"/>
              <w:right w:w="53" w:type="dxa"/>
            </w:tcMar>
            <w:vAlign w:val="bottom"/>
          </w:tcPr>
          <w:p w14:paraId="1542F89E" w14:textId="77777777" w:rsidR="00F9392A" w:rsidRDefault="000F0826">
            <w:pPr>
              <w:spacing w:line="200" w:lineRule="auto"/>
            </w:pPr>
            <w:r>
              <w:rPr>
                <w:sz w:val="20"/>
              </w:rPr>
              <w:t>Less: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489499" w14:textId="77777777" w:rsidR="00F9392A" w:rsidRDefault="00F9392A"/>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0C798B33" w14:textId="77777777" w:rsidR="00F9392A" w:rsidRDefault="00F9392A"/>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DDE04C" w14:textId="77777777" w:rsidR="00F9392A" w:rsidRDefault="00F9392A"/>
        </w:tc>
        <w:tc>
          <w:tcPr>
            <w:tcW w:w="1650" w:type="dxa"/>
            <w:gridSpan w:val="2"/>
            <w:tcBorders>
              <w:top w:val="nil"/>
              <w:left w:val="nil"/>
              <w:bottom w:val="nil"/>
              <w:right w:val="nil"/>
            </w:tcBorders>
            <w:shd w:val="clear" w:color="auto" w:fill="CCEEFF"/>
            <w:tcMar>
              <w:top w:w="0" w:type="dxa"/>
              <w:left w:w="0" w:type="dxa"/>
              <w:bottom w:w="0" w:type="dxa"/>
              <w:right w:w="0" w:type="dxa"/>
            </w:tcMar>
            <w:vAlign w:val="bottom"/>
          </w:tcPr>
          <w:p w14:paraId="33F28300" w14:textId="77777777" w:rsidR="00F9392A" w:rsidRDefault="00F9392A"/>
        </w:tc>
      </w:tr>
      <w:tr w:rsidR="00F9392A" w14:paraId="22C29B49" w14:textId="77777777">
        <w:trPr>
          <w:trHeight w:hRule="exact" w:val="300"/>
          <w:jc w:val="center"/>
        </w:trPr>
        <w:tc>
          <w:tcPr>
            <w:tcW w:w="6525" w:type="dxa"/>
            <w:tcBorders>
              <w:top w:val="nil"/>
              <w:left w:val="nil"/>
              <w:bottom w:val="nil"/>
              <w:right w:val="nil"/>
            </w:tcBorders>
            <w:shd w:val="clear" w:color="auto" w:fill="FFFFFF"/>
            <w:tcMar>
              <w:top w:w="75" w:type="dxa"/>
              <w:left w:w="173" w:type="dxa"/>
              <w:bottom w:w="30" w:type="dxa"/>
              <w:right w:w="53" w:type="dxa"/>
            </w:tcMar>
            <w:vAlign w:val="bottom"/>
          </w:tcPr>
          <w:p w14:paraId="66450FC3" w14:textId="77777777" w:rsidR="00F9392A" w:rsidRDefault="000F0826">
            <w:pPr>
              <w:widowControl w:val="0"/>
              <w:spacing w:line="200" w:lineRule="auto"/>
            </w:pPr>
            <w:r>
              <w:rPr>
                <w:sz w:val="20"/>
              </w:rPr>
              <w:t xml:space="preserve">Net interest paid attributable to the Partnership </w:t>
            </w:r>
            <w:r>
              <w:rPr>
                <w:sz w:val="20"/>
                <w:vertAlign w:val="superscript"/>
              </w:rPr>
              <w:t>(1)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7A8F46" w14:textId="77777777" w:rsidR="00F9392A" w:rsidRDefault="00F9392A"/>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32D72555" w14:textId="77777777" w:rsidR="00F9392A" w:rsidRDefault="000F0826">
            <w:pPr>
              <w:spacing w:line="200" w:lineRule="auto"/>
              <w:jc w:val="right"/>
            </w:pPr>
            <w:r>
              <w:rPr>
                <w:sz w:val="20"/>
              </w:rPr>
              <w:t>21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BFEA81" w14:textId="77777777" w:rsidR="00F9392A" w:rsidRDefault="00F9392A"/>
        </w:tc>
        <w:tc>
          <w:tcPr>
            <w:tcW w:w="1650" w:type="dxa"/>
            <w:gridSpan w:val="2"/>
            <w:tcBorders>
              <w:top w:val="nil"/>
              <w:left w:val="nil"/>
              <w:bottom w:val="nil"/>
              <w:right w:val="nil"/>
            </w:tcBorders>
            <w:shd w:val="clear" w:color="auto" w:fill="FFFFFF"/>
            <w:tcMar>
              <w:top w:w="0" w:type="dxa"/>
              <w:left w:w="0" w:type="dxa"/>
              <w:bottom w:w="0" w:type="dxa"/>
              <w:right w:w="0" w:type="dxa"/>
            </w:tcMar>
            <w:vAlign w:val="bottom"/>
          </w:tcPr>
          <w:p w14:paraId="1793F8F5" w14:textId="77777777" w:rsidR="00F9392A" w:rsidRDefault="000F0826">
            <w:pPr>
              <w:spacing w:line="200" w:lineRule="auto"/>
              <w:jc w:val="right"/>
            </w:pPr>
            <w:r>
              <w:rPr>
                <w:sz w:val="20"/>
              </w:rPr>
              <w:t>20</w:t>
            </w:r>
          </w:p>
        </w:tc>
      </w:tr>
      <w:tr w:rsidR="00F9392A" w14:paraId="5F3365A9" w14:textId="77777777">
        <w:trPr>
          <w:trHeight w:hRule="exact" w:val="300"/>
          <w:jc w:val="center"/>
        </w:trPr>
        <w:tc>
          <w:tcPr>
            <w:tcW w:w="6525" w:type="dxa"/>
            <w:tcBorders>
              <w:top w:val="nil"/>
              <w:left w:val="nil"/>
              <w:bottom w:val="nil"/>
              <w:right w:val="nil"/>
            </w:tcBorders>
            <w:shd w:val="clear" w:color="auto" w:fill="CCEEFF"/>
            <w:tcMar>
              <w:top w:w="75" w:type="dxa"/>
              <w:left w:w="173" w:type="dxa"/>
              <w:bottom w:w="30" w:type="dxa"/>
              <w:right w:w="53" w:type="dxa"/>
            </w:tcMar>
            <w:vAlign w:val="bottom"/>
          </w:tcPr>
          <w:p w14:paraId="1ECC068E" w14:textId="77777777" w:rsidR="00F9392A" w:rsidRDefault="000F0826">
            <w:pPr>
              <w:spacing w:line="200" w:lineRule="auto"/>
            </w:pPr>
            <w:r>
              <w:rPr>
                <w:sz w:val="20"/>
              </w:rPr>
              <w:t>Income taxes paid attributable to the Partnership</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24308F" w14:textId="77777777" w:rsidR="00F9392A" w:rsidRDefault="00F9392A"/>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4B678F8D" w14:textId="77777777" w:rsidR="00F9392A" w:rsidRDefault="000F0826">
            <w:pPr>
              <w:spacing w:line="200" w:lineRule="auto"/>
              <w:jc w:val="right"/>
            </w:pPr>
            <w:r>
              <w:rPr>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FAF780" w14:textId="77777777" w:rsidR="00F9392A" w:rsidRDefault="00F9392A"/>
        </w:tc>
        <w:tc>
          <w:tcPr>
            <w:tcW w:w="1650" w:type="dxa"/>
            <w:gridSpan w:val="2"/>
            <w:tcBorders>
              <w:top w:val="nil"/>
              <w:left w:val="nil"/>
              <w:bottom w:val="nil"/>
              <w:right w:val="nil"/>
            </w:tcBorders>
            <w:shd w:val="clear" w:color="auto" w:fill="CCEEFF"/>
            <w:tcMar>
              <w:top w:w="0" w:type="dxa"/>
              <w:left w:w="0" w:type="dxa"/>
              <w:bottom w:w="0" w:type="dxa"/>
              <w:right w:w="0" w:type="dxa"/>
            </w:tcMar>
            <w:vAlign w:val="bottom"/>
          </w:tcPr>
          <w:p w14:paraId="5CF5DD30" w14:textId="77777777" w:rsidR="00F9392A" w:rsidRDefault="000F0826">
            <w:pPr>
              <w:spacing w:line="200" w:lineRule="auto"/>
              <w:jc w:val="right"/>
            </w:pPr>
            <w:r>
              <w:rPr>
                <w:sz w:val="20"/>
              </w:rPr>
              <w:t>—</w:t>
            </w:r>
          </w:p>
        </w:tc>
      </w:tr>
      <w:tr w:rsidR="00F9392A" w14:paraId="14011704" w14:textId="77777777">
        <w:trPr>
          <w:trHeight w:hRule="exact" w:val="300"/>
          <w:jc w:val="center"/>
        </w:trPr>
        <w:tc>
          <w:tcPr>
            <w:tcW w:w="6525" w:type="dxa"/>
            <w:tcBorders>
              <w:top w:val="nil"/>
              <w:left w:val="nil"/>
              <w:bottom w:val="nil"/>
              <w:right w:val="nil"/>
            </w:tcBorders>
            <w:shd w:val="clear" w:color="auto" w:fill="FFFFFF"/>
            <w:tcMar>
              <w:top w:w="75" w:type="dxa"/>
              <w:left w:w="173" w:type="dxa"/>
              <w:bottom w:w="30" w:type="dxa"/>
              <w:right w:w="53" w:type="dxa"/>
            </w:tcMar>
            <w:vAlign w:val="bottom"/>
          </w:tcPr>
          <w:p w14:paraId="51CFDB76" w14:textId="77777777" w:rsidR="00F9392A" w:rsidRDefault="000F0826">
            <w:pPr>
              <w:spacing w:line="200" w:lineRule="auto"/>
            </w:pPr>
            <w:r>
              <w:rPr>
                <w:sz w:val="20"/>
              </w:rPr>
              <w:t xml:space="preserve">Maintenance capex attributable to the Partnership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E231A41" w14:textId="77777777" w:rsidR="00F9392A" w:rsidRDefault="00F9392A"/>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13B30808" w14:textId="77777777" w:rsidR="00F9392A" w:rsidRDefault="000F0826">
            <w:pPr>
              <w:spacing w:line="200" w:lineRule="auto"/>
              <w:jc w:val="right"/>
            </w:pPr>
            <w:r>
              <w:rPr>
                <w:sz w:val="20"/>
              </w:rPr>
              <w:t>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647DB45" w14:textId="77777777" w:rsidR="00F9392A" w:rsidRDefault="00F9392A"/>
        </w:tc>
        <w:tc>
          <w:tcPr>
            <w:tcW w:w="1650" w:type="dxa"/>
            <w:gridSpan w:val="2"/>
            <w:tcBorders>
              <w:top w:val="nil"/>
              <w:left w:val="nil"/>
              <w:bottom w:val="nil"/>
              <w:right w:val="nil"/>
            </w:tcBorders>
            <w:shd w:val="clear" w:color="auto" w:fill="FFFFFF"/>
            <w:tcMar>
              <w:top w:w="0" w:type="dxa"/>
              <w:left w:w="0" w:type="dxa"/>
              <w:bottom w:w="0" w:type="dxa"/>
              <w:right w:w="0" w:type="dxa"/>
            </w:tcMar>
            <w:vAlign w:val="bottom"/>
          </w:tcPr>
          <w:p w14:paraId="1DB3C108" w14:textId="77777777" w:rsidR="00F9392A" w:rsidRDefault="000F0826">
            <w:pPr>
              <w:spacing w:line="200" w:lineRule="auto"/>
              <w:jc w:val="right"/>
            </w:pPr>
            <w:r>
              <w:rPr>
                <w:sz w:val="20"/>
              </w:rPr>
              <w:t>8</w:t>
            </w:r>
          </w:p>
        </w:tc>
      </w:tr>
      <w:tr w:rsidR="00F9392A" w14:paraId="43D2A549" w14:textId="77777777">
        <w:trPr>
          <w:trHeight w:hRule="exact" w:val="300"/>
          <w:jc w:val="center"/>
        </w:trPr>
        <w:tc>
          <w:tcPr>
            <w:tcW w:w="6525" w:type="dxa"/>
            <w:tcBorders>
              <w:top w:val="nil"/>
              <w:left w:val="nil"/>
              <w:bottom w:val="nil"/>
              <w:right w:val="nil"/>
            </w:tcBorders>
            <w:shd w:val="clear" w:color="auto" w:fill="CCEEFF"/>
            <w:tcMar>
              <w:top w:w="75" w:type="dxa"/>
              <w:left w:w="53" w:type="dxa"/>
              <w:bottom w:w="30" w:type="dxa"/>
              <w:right w:w="53" w:type="dxa"/>
            </w:tcMar>
            <w:vAlign w:val="bottom"/>
          </w:tcPr>
          <w:p w14:paraId="08DCB665" w14:textId="77777777" w:rsidR="00F9392A" w:rsidRDefault="000F0826">
            <w:pPr>
              <w:spacing w:line="200" w:lineRule="auto"/>
            </w:pPr>
            <w:r>
              <w:rPr>
                <w:sz w:val="20"/>
              </w:rPr>
              <w:t>Add: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4DEE2D" w14:textId="77777777" w:rsidR="00F9392A" w:rsidRDefault="00F9392A"/>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46B6F1A4" w14:textId="77777777" w:rsidR="00F9392A" w:rsidRDefault="00F9392A"/>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360EA61" w14:textId="77777777" w:rsidR="00F9392A" w:rsidRDefault="00F9392A"/>
        </w:tc>
        <w:tc>
          <w:tcPr>
            <w:tcW w:w="1650" w:type="dxa"/>
            <w:gridSpan w:val="2"/>
            <w:tcBorders>
              <w:top w:val="nil"/>
              <w:left w:val="nil"/>
              <w:bottom w:val="nil"/>
              <w:right w:val="nil"/>
            </w:tcBorders>
            <w:shd w:val="clear" w:color="auto" w:fill="CCEEFF"/>
            <w:tcMar>
              <w:top w:w="0" w:type="dxa"/>
              <w:left w:w="0" w:type="dxa"/>
              <w:bottom w:w="0" w:type="dxa"/>
              <w:right w:w="0" w:type="dxa"/>
            </w:tcMar>
            <w:vAlign w:val="bottom"/>
          </w:tcPr>
          <w:p w14:paraId="680C8837" w14:textId="77777777" w:rsidR="00F9392A" w:rsidRDefault="00F9392A"/>
        </w:tc>
      </w:tr>
      <w:tr w:rsidR="00F9392A" w14:paraId="364E6D6B" w14:textId="77777777">
        <w:trPr>
          <w:trHeight w:hRule="exact" w:val="510"/>
          <w:jc w:val="center"/>
        </w:trPr>
        <w:tc>
          <w:tcPr>
            <w:tcW w:w="6525" w:type="dxa"/>
            <w:tcBorders>
              <w:top w:val="nil"/>
              <w:left w:val="nil"/>
              <w:bottom w:val="nil"/>
              <w:right w:val="nil"/>
            </w:tcBorders>
            <w:shd w:val="clear" w:color="auto" w:fill="FFFFFF"/>
            <w:tcMar>
              <w:top w:w="75" w:type="dxa"/>
              <w:left w:w="173" w:type="dxa"/>
              <w:bottom w:w="30" w:type="dxa"/>
              <w:right w:w="53" w:type="dxa"/>
            </w:tcMar>
            <w:vAlign w:val="bottom"/>
          </w:tcPr>
          <w:p w14:paraId="031BAC4D" w14:textId="77777777" w:rsidR="00F9392A" w:rsidRDefault="000F0826">
            <w:pPr>
              <w:spacing w:line="200" w:lineRule="auto"/>
            </w:pPr>
            <w:r>
              <w:rPr>
                <w:sz w:val="20"/>
              </w:rPr>
              <w:t xml:space="preserve">Net adjustments from volume </w:t>
            </w:r>
            <w:r>
              <w:rPr>
                <w:sz w:val="20"/>
              </w:rPr>
              <w:t>deficiency payments attributable to the Partnership</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7ADC416" w14:textId="77777777" w:rsidR="00F9392A" w:rsidRDefault="00F9392A"/>
        </w:tc>
        <w:tc>
          <w:tcPr>
            <w:tcW w:w="1695" w:type="dxa"/>
            <w:gridSpan w:val="2"/>
            <w:tcBorders>
              <w:top w:val="nil"/>
              <w:left w:val="nil"/>
              <w:bottom w:val="nil"/>
              <w:right w:val="nil"/>
            </w:tcBorders>
            <w:shd w:val="clear" w:color="auto" w:fill="FFFFFF"/>
            <w:tcMar>
              <w:top w:w="0" w:type="dxa"/>
              <w:left w:w="0" w:type="dxa"/>
              <w:bottom w:w="0" w:type="dxa"/>
              <w:right w:w="0" w:type="dxa"/>
            </w:tcMar>
            <w:vAlign w:val="bottom"/>
          </w:tcPr>
          <w:p w14:paraId="40487016" w14:textId="77777777" w:rsidR="00F9392A" w:rsidRDefault="000F0826">
            <w:pPr>
              <w:spacing w:line="200" w:lineRule="auto"/>
              <w:jc w:val="right"/>
            </w:pPr>
            <w:r>
              <w:rPr>
                <w:sz w:val="20"/>
              </w:rPr>
              <w:t>(1)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600E2A5" w14:textId="77777777" w:rsidR="00F9392A" w:rsidRDefault="00F9392A"/>
        </w:tc>
        <w:tc>
          <w:tcPr>
            <w:tcW w:w="1650" w:type="dxa"/>
            <w:gridSpan w:val="2"/>
            <w:tcBorders>
              <w:top w:val="nil"/>
              <w:left w:val="nil"/>
              <w:bottom w:val="nil"/>
              <w:right w:val="nil"/>
            </w:tcBorders>
            <w:shd w:val="clear" w:color="auto" w:fill="FFFFFF"/>
            <w:tcMar>
              <w:top w:w="0" w:type="dxa"/>
              <w:left w:w="0" w:type="dxa"/>
              <w:bottom w:w="0" w:type="dxa"/>
              <w:right w:w="0" w:type="dxa"/>
            </w:tcMar>
            <w:vAlign w:val="bottom"/>
          </w:tcPr>
          <w:p w14:paraId="5B03A7EF" w14:textId="77777777" w:rsidR="00F9392A" w:rsidRDefault="000F0826">
            <w:pPr>
              <w:spacing w:line="200" w:lineRule="auto"/>
              <w:jc w:val="right"/>
            </w:pPr>
            <w:r>
              <w:rPr>
                <w:sz w:val="20"/>
              </w:rPr>
              <w:t>(9)</w:t>
            </w:r>
          </w:p>
        </w:tc>
      </w:tr>
      <w:tr w:rsidR="00F9392A" w14:paraId="07B01738" w14:textId="77777777">
        <w:trPr>
          <w:trHeight w:hRule="exact" w:val="330"/>
          <w:jc w:val="center"/>
        </w:trPr>
        <w:tc>
          <w:tcPr>
            <w:tcW w:w="6525" w:type="dxa"/>
            <w:tcBorders>
              <w:top w:val="nil"/>
              <w:left w:val="nil"/>
              <w:bottom w:val="nil"/>
              <w:right w:val="nil"/>
            </w:tcBorders>
            <w:shd w:val="clear" w:color="auto" w:fill="CCEEFF"/>
            <w:tcMar>
              <w:top w:w="75" w:type="dxa"/>
              <w:left w:w="173" w:type="dxa"/>
              <w:bottom w:w="30" w:type="dxa"/>
              <w:right w:w="53" w:type="dxa"/>
            </w:tcMar>
            <w:vAlign w:val="bottom"/>
          </w:tcPr>
          <w:p w14:paraId="79C8636E" w14:textId="77777777" w:rsidR="00F9392A" w:rsidRDefault="000F0826">
            <w:pPr>
              <w:spacing w:line="200" w:lineRule="auto"/>
            </w:pPr>
            <w:r>
              <w:rPr>
                <w:sz w:val="20"/>
              </w:rPr>
              <w:t>Reimbursements from Parent included in partners’ capital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79B70B2" w14:textId="77777777" w:rsidR="00F9392A" w:rsidRDefault="00F9392A"/>
        </w:tc>
        <w:tc>
          <w:tcPr>
            <w:tcW w:w="1695" w:type="dxa"/>
            <w:gridSpan w:val="2"/>
            <w:tcBorders>
              <w:top w:val="nil"/>
              <w:left w:val="nil"/>
              <w:bottom w:val="nil"/>
              <w:right w:val="nil"/>
            </w:tcBorders>
            <w:shd w:val="clear" w:color="auto" w:fill="CCEEFF"/>
            <w:tcMar>
              <w:top w:w="0" w:type="dxa"/>
              <w:left w:w="0" w:type="dxa"/>
              <w:bottom w:w="0" w:type="dxa"/>
              <w:right w:w="0" w:type="dxa"/>
            </w:tcMar>
            <w:vAlign w:val="bottom"/>
          </w:tcPr>
          <w:p w14:paraId="413F0859" w14:textId="77777777" w:rsidR="00F9392A" w:rsidRDefault="000F0826">
            <w:pPr>
              <w:spacing w:line="200" w:lineRule="auto"/>
              <w:jc w:val="right"/>
            </w:pPr>
            <w:r>
              <w:rPr>
                <w:sz w:val="20"/>
              </w:rPr>
              <w:t>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A301434" w14:textId="77777777" w:rsidR="00F9392A" w:rsidRDefault="00F9392A"/>
        </w:tc>
        <w:tc>
          <w:tcPr>
            <w:tcW w:w="1650" w:type="dxa"/>
            <w:gridSpan w:val="2"/>
            <w:tcBorders>
              <w:top w:val="nil"/>
              <w:left w:val="nil"/>
              <w:bottom w:val="nil"/>
              <w:right w:val="nil"/>
            </w:tcBorders>
            <w:shd w:val="clear" w:color="auto" w:fill="CCEEFF"/>
            <w:tcMar>
              <w:top w:w="0" w:type="dxa"/>
              <w:left w:w="0" w:type="dxa"/>
              <w:bottom w:w="0" w:type="dxa"/>
              <w:right w:w="0" w:type="dxa"/>
            </w:tcMar>
            <w:vAlign w:val="bottom"/>
          </w:tcPr>
          <w:p w14:paraId="1183C883" w14:textId="77777777" w:rsidR="00F9392A" w:rsidRDefault="000F0826">
            <w:pPr>
              <w:spacing w:line="200" w:lineRule="auto"/>
              <w:jc w:val="right"/>
            </w:pPr>
            <w:r>
              <w:rPr>
                <w:sz w:val="20"/>
              </w:rPr>
              <w:t>7</w:t>
            </w:r>
          </w:p>
        </w:tc>
      </w:tr>
      <w:tr w:rsidR="00F9392A" w14:paraId="054003DC" w14:textId="77777777">
        <w:trPr>
          <w:trHeight w:hRule="exact" w:val="345"/>
          <w:jc w:val="center"/>
        </w:trPr>
        <w:tc>
          <w:tcPr>
            <w:tcW w:w="6525" w:type="dxa"/>
            <w:tcBorders>
              <w:top w:val="nil"/>
              <w:left w:val="nil"/>
              <w:bottom w:val="nil"/>
              <w:right w:val="nil"/>
            </w:tcBorders>
            <w:shd w:val="clear" w:color="auto" w:fill="FFFFFF"/>
            <w:tcMar>
              <w:top w:w="75" w:type="dxa"/>
              <w:left w:w="53" w:type="dxa"/>
              <w:bottom w:w="30" w:type="dxa"/>
              <w:right w:w="53" w:type="dxa"/>
            </w:tcMar>
            <w:vAlign w:val="bottom"/>
          </w:tcPr>
          <w:p w14:paraId="097779B7" w14:textId="77777777" w:rsidR="00F9392A" w:rsidRDefault="000F0826">
            <w:pPr>
              <w:spacing w:line="200" w:lineRule="auto"/>
            </w:pPr>
            <w:r>
              <w:rPr>
                <w:sz w:val="20"/>
              </w:rPr>
              <w:t>Cash available for distribution attributable to the Partnership</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7852810" w14:textId="77777777" w:rsidR="00F9392A" w:rsidRDefault="00F9392A"/>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5A5ECBB2" w14:textId="77777777" w:rsidR="00F9392A" w:rsidRDefault="000F0826">
            <w:pPr>
              <w:spacing w:line="200" w:lineRule="auto"/>
            </w:pPr>
            <w:r>
              <w:rPr>
                <w:sz w:val="20"/>
              </w:rPr>
              <w:t>$</w:t>
            </w:r>
          </w:p>
        </w:tc>
        <w:tc>
          <w:tcPr>
            <w:tcW w:w="159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01B95C5C" w14:textId="77777777" w:rsidR="00F9392A" w:rsidRDefault="000F0826">
            <w:pPr>
              <w:spacing w:line="200" w:lineRule="auto"/>
              <w:jc w:val="right"/>
            </w:pPr>
            <w:r>
              <w:rPr>
                <w:sz w:val="20"/>
              </w:rPr>
              <w:t>162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F18F017" w14:textId="77777777" w:rsidR="00F9392A" w:rsidRDefault="00F9392A"/>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3ABF84D0" w14:textId="77777777" w:rsidR="00F9392A" w:rsidRDefault="000F0826">
            <w:pPr>
              <w:spacing w:line="200" w:lineRule="auto"/>
            </w:pPr>
            <w:r>
              <w:rPr>
                <w:sz w:val="20"/>
              </w:rPr>
              <w:t>$</w:t>
            </w:r>
          </w:p>
        </w:tc>
        <w:tc>
          <w:tcPr>
            <w:tcW w:w="155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605703F7" w14:textId="77777777" w:rsidR="00F9392A" w:rsidRDefault="000F0826">
            <w:pPr>
              <w:spacing w:line="200" w:lineRule="auto"/>
              <w:jc w:val="right"/>
            </w:pPr>
            <w:r>
              <w:rPr>
                <w:sz w:val="20"/>
              </w:rPr>
              <w:t>140</w:t>
            </w:r>
          </w:p>
        </w:tc>
      </w:tr>
    </w:tbl>
    <w:p w14:paraId="03E0BC55" w14:textId="77777777" w:rsidR="00F9392A" w:rsidRDefault="000F0826">
      <w:pPr>
        <w:spacing w:before="120"/>
        <w:ind w:left="180" w:firstLine="90"/>
      </w:pPr>
      <w:r>
        <w:rPr>
          <w:i/>
          <w:color w:val="000000"/>
          <w:sz w:val="18"/>
          <w:vertAlign w:val="superscript"/>
        </w:rPr>
        <w:t>(1)</w:t>
      </w:r>
      <w:r>
        <w:rPr>
          <w:i/>
          <w:color w:val="000000"/>
          <w:sz w:val="18"/>
        </w:rPr>
        <w:t xml:space="preserve"> Amount represents both paid and accrued interest attributable to the period.</w:t>
      </w:r>
    </w:p>
    <w:p w14:paraId="5FA5BF33" w14:textId="77777777" w:rsidR="00F9392A" w:rsidRDefault="00F9392A"/>
    <w:p w14:paraId="74A4FBD0" w14:textId="77777777" w:rsidR="00F9392A" w:rsidRDefault="000F0826">
      <w:pPr>
        <w:jc w:val="both"/>
      </w:pPr>
      <w:r>
        <w:rPr>
          <w:color w:val="000000"/>
          <w:sz w:val="20"/>
        </w:rPr>
        <w:t>See</w:t>
      </w:r>
      <w:r>
        <w:rPr>
          <w:i/>
          <w:color w:val="000000"/>
          <w:sz w:val="20"/>
        </w:rPr>
        <w:t xml:space="preserve"> </w:t>
      </w:r>
      <w:r>
        <w:rPr>
          <w:color w:val="000000"/>
          <w:sz w:val="20"/>
        </w:rPr>
        <w:t>“</w:t>
      </w:r>
      <w:r>
        <w:rPr>
          <w:i/>
          <w:color w:val="000000"/>
          <w:sz w:val="20"/>
        </w:rPr>
        <w:t>Non-GAAP Financial Measures</w:t>
      </w:r>
      <w:r>
        <w:rPr>
          <w:color w:val="000000"/>
          <w:sz w:val="20"/>
        </w:rPr>
        <w:t>”</w:t>
      </w:r>
      <w:r>
        <w:rPr>
          <w:i/>
          <w:color w:val="000000"/>
          <w:sz w:val="20"/>
        </w:rPr>
        <w:t xml:space="preserve"> </w:t>
      </w:r>
      <w:r>
        <w:rPr>
          <w:color w:val="000000"/>
          <w:sz w:val="20"/>
        </w:rPr>
        <w:t>later in this press release.</w:t>
      </w:r>
    </w:p>
    <w:p w14:paraId="785D572A" w14:textId="77777777" w:rsidR="00F9392A" w:rsidRDefault="00F9392A">
      <w:pPr>
        <w:jc w:val="both"/>
      </w:pPr>
    </w:p>
    <w:p w14:paraId="2FE5E929" w14:textId="77777777" w:rsidR="00F9392A" w:rsidRDefault="00F9392A">
      <w:pPr>
        <w:jc w:val="both"/>
      </w:pPr>
    </w:p>
    <w:p w14:paraId="222E89F6" w14:textId="77777777" w:rsidR="00F9392A" w:rsidRDefault="00F9392A">
      <w:pPr>
        <w:keepNext/>
      </w:pPr>
    </w:p>
    <w:p w14:paraId="6E6F6174" w14:textId="77777777" w:rsidR="00F9392A" w:rsidRDefault="00F9392A"/>
    <w:p w14:paraId="41FA9D18" w14:textId="77777777" w:rsidR="00F9392A" w:rsidRDefault="00F9392A"/>
    <w:p w14:paraId="46698898" w14:textId="77777777" w:rsidR="00F9392A" w:rsidRDefault="00F9392A"/>
    <w:p w14:paraId="59AA181E" w14:textId="77777777" w:rsidR="00F9392A" w:rsidRDefault="00F9392A"/>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8"/>
        <w:gridCol w:w="269"/>
        <w:gridCol w:w="100"/>
        <w:gridCol w:w="1367"/>
        <w:gridCol w:w="179"/>
        <w:gridCol w:w="100"/>
        <w:gridCol w:w="1397"/>
      </w:tblGrid>
      <w:tr w:rsidR="00F9392A" w14:paraId="677FE0AC" w14:textId="77777777">
        <w:trPr>
          <w:trHeight w:hRule="exact" w:val="300"/>
          <w:jc w:val="center"/>
        </w:trPr>
        <w:tc>
          <w:tcPr>
            <w:tcW w:w="10410" w:type="dxa"/>
            <w:gridSpan w:val="7"/>
            <w:tcBorders>
              <w:top w:val="nil"/>
              <w:left w:val="nil"/>
              <w:bottom w:val="nil"/>
              <w:right w:val="nil"/>
            </w:tcBorders>
            <w:shd w:val="clear" w:color="auto" w:fill="auto"/>
            <w:tcMar>
              <w:top w:w="75" w:type="dxa"/>
              <w:left w:w="53" w:type="dxa"/>
              <w:bottom w:w="30" w:type="dxa"/>
              <w:right w:w="53" w:type="dxa"/>
            </w:tcMar>
            <w:vAlign w:val="bottom"/>
          </w:tcPr>
          <w:p w14:paraId="6D6C1C20" w14:textId="77777777" w:rsidR="00F9392A" w:rsidRDefault="000F0826">
            <w:pPr>
              <w:widowControl w:val="0"/>
              <w:spacing w:line="200" w:lineRule="auto"/>
            </w:pPr>
            <w:r>
              <w:rPr>
                <w:b/>
                <w:sz w:val="22"/>
              </w:rPr>
              <w:t>Distribution Information</w:t>
            </w:r>
          </w:p>
        </w:tc>
      </w:tr>
      <w:tr w:rsidR="00F9392A" w14:paraId="72931208" w14:textId="77777777">
        <w:trPr>
          <w:trHeight w:hRule="exact" w:val="300"/>
          <w:jc w:val="center"/>
        </w:trPr>
        <w:tc>
          <w:tcPr>
            <w:tcW w:w="6990" w:type="dxa"/>
            <w:tcBorders>
              <w:top w:val="nil"/>
              <w:left w:val="nil"/>
              <w:bottom w:val="nil"/>
              <w:right w:val="nil"/>
            </w:tcBorders>
            <w:shd w:val="clear" w:color="auto" w:fill="auto"/>
            <w:tcMar>
              <w:top w:w="0" w:type="dxa"/>
              <w:left w:w="0" w:type="dxa"/>
              <w:bottom w:w="0" w:type="dxa"/>
              <w:right w:w="0" w:type="dxa"/>
            </w:tcMar>
            <w:vAlign w:val="bottom"/>
          </w:tcPr>
          <w:p w14:paraId="2FDB19CD" w14:textId="77777777" w:rsidR="00F9392A" w:rsidRDefault="00F9392A"/>
        </w:tc>
        <w:tc>
          <w:tcPr>
            <w:tcW w:w="270" w:type="dxa"/>
            <w:tcBorders>
              <w:top w:val="nil"/>
              <w:left w:val="nil"/>
              <w:bottom w:val="nil"/>
              <w:right w:val="nil"/>
            </w:tcBorders>
            <w:shd w:val="clear" w:color="auto" w:fill="auto"/>
            <w:tcMar>
              <w:top w:w="0" w:type="dxa"/>
              <w:left w:w="0" w:type="dxa"/>
              <w:bottom w:w="0" w:type="dxa"/>
              <w:right w:w="0" w:type="dxa"/>
            </w:tcMar>
            <w:vAlign w:val="bottom"/>
          </w:tcPr>
          <w:p w14:paraId="037995DB" w14:textId="77777777" w:rsidR="00F9392A" w:rsidRDefault="00F9392A"/>
        </w:tc>
        <w:tc>
          <w:tcPr>
            <w:tcW w:w="1470" w:type="dxa"/>
            <w:gridSpan w:val="2"/>
            <w:tcBorders>
              <w:top w:val="nil"/>
              <w:left w:val="nil"/>
              <w:bottom w:val="nil"/>
              <w:right w:val="nil"/>
            </w:tcBorders>
            <w:shd w:val="clear" w:color="auto" w:fill="auto"/>
            <w:tcMar>
              <w:top w:w="0" w:type="dxa"/>
              <w:left w:w="0" w:type="dxa"/>
              <w:bottom w:w="0" w:type="dxa"/>
              <w:right w:w="0" w:type="dxa"/>
            </w:tcMar>
            <w:vAlign w:val="bottom"/>
          </w:tcPr>
          <w:p w14:paraId="6A76B7DD" w14:textId="77777777" w:rsidR="00F9392A" w:rsidRDefault="00F9392A"/>
        </w:tc>
        <w:tc>
          <w:tcPr>
            <w:tcW w:w="180" w:type="dxa"/>
            <w:tcBorders>
              <w:top w:val="nil"/>
              <w:left w:val="nil"/>
              <w:bottom w:val="nil"/>
              <w:right w:val="nil"/>
            </w:tcBorders>
            <w:shd w:val="clear" w:color="auto" w:fill="auto"/>
            <w:tcMar>
              <w:top w:w="0" w:type="dxa"/>
              <w:left w:w="0" w:type="dxa"/>
              <w:bottom w:w="0" w:type="dxa"/>
              <w:right w:w="0" w:type="dxa"/>
            </w:tcMar>
            <w:vAlign w:val="bottom"/>
          </w:tcPr>
          <w:p w14:paraId="67789A29" w14:textId="77777777" w:rsidR="00F9392A" w:rsidRDefault="00F9392A"/>
        </w:tc>
        <w:tc>
          <w:tcPr>
            <w:tcW w:w="1500" w:type="dxa"/>
            <w:gridSpan w:val="2"/>
            <w:tcBorders>
              <w:top w:val="nil"/>
              <w:left w:val="nil"/>
              <w:bottom w:val="nil"/>
              <w:right w:val="nil"/>
            </w:tcBorders>
            <w:shd w:val="clear" w:color="auto" w:fill="auto"/>
            <w:tcMar>
              <w:top w:w="0" w:type="dxa"/>
              <w:left w:w="0" w:type="dxa"/>
              <w:bottom w:w="0" w:type="dxa"/>
              <w:right w:w="0" w:type="dxa"/>
            </w:tcMar>
            <w:vAlign w:val="bottom"/>
          </w:tcPr>
          <w:p w14:paraId="18BF00EC" w14:textId="77777777" w:rsidR="00F9392A" w:rsidRDefault="00F9392A"/>
        </w:tc>
      </w:tr>
      <w:tr w:rsidR="00F9392A" w14:paraId="5F41C0BC" w14:textId="77777777">
        <w:trPr>
          <w:trHeight w:hRule="exact" w:val="300"/>
          <w:jc w:val="center"/>
        </w:trPr>
        <w:tc>
          <w:tcPr>
            <w:tcW w:w="6990" w:type="dxa"/>
            <w:tcBorders>
              <w:top w:val="nil"/>
              <w:left w:val="nil"/>
              <w:bottom w:val="nil"/>
              <w:right w:val="nil"/>
            </w:tcBorders>
            <w:shd w:val="clear" w:color="auto" w:fill="auto"/>
            <w:tcMar>
              <w:top w:w="75" w:type="dxa"/>
              <w:left w:w="53" w:type="dxa"/>
              <w:bottom w:w="30" w:type="dxa"/>
              <w:right w:w="53" w:type="dxa"/>
            </w:tcMar>
            <w:vAlign w:val="bottom"/>
          </w:tcPr>
          <w:p w14:paraId="0F27B4DF" w14:textId="77777777" w:rsidR="00F9392A" w:rsidRDefault="000F0826">
            <w:pPr>
              <w:spacing w:line="200" w:lineRule="auto"/>
            </w:pPr>
            <w:r>
              <w:rPr>
                <w:b/>
                <w:sz w:val="16"/>
              </w:rPr>
              <w:t>(in millions of dollars, except per-unit and ratio data)</w:t>
            </w:r>
          </w:p>
        </w:tc>
        <w:tc>
          <w:tcPr>
            <w:tcW w:w="270" w:type="dxa"/>
            <w:tcBorders>
              <w:top w:val="nil"/>
              <w:left w:val="nil"/>
              <w:bottom w:val="nil"/>
              <w:right w:val="nil"/>
            </w:tcBorders>
            <w:shd w:val="clear" w:color="auto" w:fill="auto"/>
            <w:tcMar>
              <w:top w:w="0" w:type="dxa"/>
              <w:left w:w="0" w:type="dxa"/>
              <w:bottom w:w="0" w:type="dxa"/>
              <w:right w:w="0" w:type="dxa"/>
            </w:tcMar>
            <w:vAlign w:val="bottom"/>
          </w:tcPr>
          <w:p w14:paraId="01527B26" w14:textId="77777777" w:rsidR="00F9392A" w:rsidRDefault="00F9392A"/>
        </w:tc>
        <w:tc>
          <w:tcPr>
            <w:tcW w:w="3150" w:type="dxa"/>
            <w:gridSpan w:val="5"/>
            <w:tcBorders>
              <w:top w:val="nil"/>
              <w:left w:val="nil"/>
              <w:bottom w:val="nil"/>
              <w:right w:val="nil"/>
            </w:tcBorders>
            <w:shd w:val="clear" w:color="auto" w:fill="auto"/>
            <w:tcMar>
              <w:top w:w="75" w:type="dxa"/>
              <w:left w:w="53" w:type="dxa"/>
              <w:bottom w:w="30" w:type="dxa"/>
              <w:right w:w="53" w:type="dxa"/>
            </w:tcMar>
            <w:vAlign w:val="bottom"/>
          </w:tcPr>
          <w:p w14:paraId="544B13C1" w14:textId="77777777" w:rsidR="00F9392A" w:rsidRDefault="000F0826">
            <w:pPr>
              <w:spacing w:line="200" w:lineRule="auto"/>
              <w:jc w:val="center"/>
            </w:pPr>
            <w:r>
              <w:rPr>
                <w:b/>
                <w:sz w:val="16"/>
              </w:rPr>
              <w:t xml:space="preserve">For the </w:t>
            </w:r>
            <w:r>
              <w:rPr>
                <w:b/>
                <w:sz w:val="16"/>
              </w:rPr>
              <w:t>Three Months Ended</w:t>
            </w:r>
          </w:p>
        </w:tc>
      </w:tr>
      <w:tr w:rsidR="00F9392A" w14:paraId="59A3F1F1" w14:textId="77777777">
        <w:trPr>
          <w:trHeight w:hRule="exact" w:val="255"/>
          <w:jc w:val="center"/>
        </w:trPr>
        <w:tc>
          <w:tcPr>
            <w:tcW w:w="6990" w:type="dxa"/>
            <w:tcBorders>
              <w:top w:val="nil"/>
              <w:left w:val="nil"/>
              <w:bottom w:val="nil"/>
              <w:right w:val="nil"/>
            </w:tcBorders>
            <w:shd w:val="clear" w:color="auto" w:fill="auto"/>
            <w:tcMar>
              <w:top w:w="0" w:type="dxa"/>
              <w:left w:w="0" w:type="dxa"/>
              <w:bottom w:w="0" w:type="dxa"/>
              <w:right w:w="0" w:type="dxa"/>
            </w:tcMar>
            <w:vAlign w:val="bottom"/>
          </w:tcPr>
          <w:p w14:paraId="788BC7A2" w14:textId="77777777" w:rsidR="00F9392A" w:rsidRDefault="00F9392A"/>
        </w:tc>
        <w:tc>
          <w:tcPr>
            <w:tcW w:w="270" w:type="dxa"/>
            <w:tcBorders>
              <w:top w:val="nil"/>
              <w:left w:val="nil"/>
              <w:bottom w:val="nil"/>
              <w:right w:val="nil"/>
            </w:tcBorders>
            <w:shd w:val="clear" w:color="auto" w:fill="auto"/>
            <w:tcMar>
              <w:top w:w="0" w:type="dxa"/>
              <w:left w:w="0" w:type="dxa"/>
              <w:bottom w:w="0" w:type="dxa"/>
              <w:right w:w="0" w:type="dxa"/>
            </w:tcMar>
            <w:vAlign w:val="bottom"/>
          </w:tcPr>
          <w:p w14:paraId="25767BCD" w14:textId="77777777" w:rsidR="00F9392A" w:rsidRDefault="00F9392A"/>
        </w:tc>
        <w:tc>
          <w:tcPr>
            <w:tcW w:w="1470"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14:paraId="4D783B51" w14:textId="77777777" w:rsidR="00F9392A" w:rsidRDefault="000F0826">
            <w:pPr>
              <w:spacing w:line="200" w:lineRule="auto"/>
              <w:jc w:val="center"/>
            </w:pPr>
            <w:r>
              <w:rPr>
                <w:b/>
                <w:sz w:val="16"/>
              </w:rPr>
              <w:t>June 30, 2019</w:t>
            </w:r>
          </w:p>
        </w:tc>
        <w:tc>
          <w:tcPr>
            <w:tcW w:w="180" w:type="dxa"/>
            <w:tcBorders>
              <w:top w:val="single" w:sz="8" w:space="0" w:color="000000"/>
              <w:left w:val="nil"/>
              <w:bottom w:val="nil"/>
              <w:right w:val="nil"/>
            </w:tcBorders>
            <w:shd w:val="clear" w:color="auto" w:fill="auto"/>
            <w:tcMar>
              <w:top w:w="0" w:type="dxa"/>
              <w:left w:w="0" w:type="dxa"/>
              <w:bottom w:w="0" w:type="dxa"/>
              <w:right w:w="0" w:type="dxa"/>
            </w:tcMar>
            <w:vAlign w:val="bottom"/>
          </w:tcPr>
          <w:p w14:paraId="18887615" w14:textId="77777777" w:rsidR="00F9392A" w:rsidRDefault="00F9392A"/>
        </w:tc>
        <w:tc>
          <w:tcPr>
            <w:tcW w:w="1500"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14:paraId="4626CD6F" w14:textId="77777777" w:rsidR="00F9392A" w:rsidRDefault="000F0826">
            <w:pPr>
              <w:spacing w:line="200" w:lineRule="auto"/>
              <w:jc w:val="center"/>
            </w:pPr>
            <w:r>
              <w:rPr>
                <w:b/>
                <w:sz w:val="16"/>
              </w:rPr>
              <w:t>March 31, 2019</w:t>
            </w:r>
          </w:p>
        </w:tc>
      </w:tr>
      <w:tr w:rsidR="00F9392A" w14:paraId="626530B9"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0185837F" w14:textId="77777777" w:rsidR="00F9392A" w:rsidRDefault="000F0826">
            <w:pPr>
              <w:spacing w:line="200" w:lineRule="auto"/>
            </w:pPr>
            <w:r>
              <w:rPr>
                <w:sz w:val="20"/>
              </w:rPr>
              <w:t>Quarterly distribution declared per unit</w:t>
            </w:r>
          </w:p>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7A12438C" w14:textId="77777777" w:rsidR="00F9392A" w:rsidRDefault="00F9392A"/>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9B65CB4" w14:textId="77777777" w:rsidR="00F9392A" w:rsidRDefault="000F0826">
            <w:pPr>
              <w:spacing w:line="200" w:lineRule="auto"/>
            </w:pPr>
            <w:r>
              <w:rPr>
                <w:sz w:val="20"/>
              </w:rPr>
              <w:t>$</w:t>
            </w:r>
          </w:p>
        </w:tc>
        <w:tc>
          <w:tcPr>
            <w:tcW w:w="137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40F3ABC" w14:textId="77777777" w:rsidR="00F9392A" w:rsidRDefault="000F0826">
            <w:pPr>
              <w:spacing w:line="200" w:lineRule="auto"/>
              <w:jc w:val="right"/>
            </w:pPr>
            <w:r>
              <w:rPr>
                <w:sz w:val="20"/>
              </w:rPr>
              <w:t>0.4300</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674D13DD" w14:textId="77777777" w:rsidR="00F9392A" w:rsidRDefault="00F9392A"/>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2FFEFC3" w14:textId="77777777" w:rsidR="00F9392A" w:rsidRDefault="000F0826">
            <w:pPr>
              <w:spacing w:line="200" w:lineRule="auto"/>
            </w:pPr>
            <w:r>
              <w:rPr>
                <w:sz w:val="20"/>
              </w:rPr>
              <w:t>$</w:t>
            </w:r>
          </w:p>
        </w:tc>
        <w:tc>
          <w:tcPr>
            <w:tcW w:w="14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F9DC395" w14:textId="77777777" w:rsidR="00F9392A" w:rsidRDefault="000F0826">
            <w:pPr>
              <w:spacing w:line="200" w:lineRule="auto"/>
              <w:jc w:val="right"/>
            </w:pPr>
            <w:r>
              <w:rPr>
                <w:sz w:val="20"/>
              </w:rPr>
              <w:t>0.4150</w:t>
            </w:r>
          </w:p>
        </w:tc>
      </w:tr>
      <w:tr w:rsidR="00F9392A" w14:paraId="204EA193" w14:textId="77777777">
        <w:trPr>
          <w:trHeight w:hRule="exact" w:val="300"/>
          <w:jc w:val="center"/>
        </w:trPr>
        <w:tc>
          <w:tcPr>
            <w:tcW w:w="6990" w:type="dxa"/>
            <w:tcBorders>
              <w:top w:val="nil"/>
              <w:left w:val="nil"/>
              <w:bottom w:val="nil"/>
              <w:right w:val="nil"/>
            </w:tcBorders>
            <w:shd w:val="clear" w:color="auto" w:fill="FFFFFF"/>
            <w:tcMar>
              <w:top w:w="0" w:type="dxa"/>
              <w:left w:w="0" w:type="dxa"/>
              <w:bottom w:w="0" w:type="dxa"/>
              <w:right w:w="0" w:type="dxa"/>
            </w:tcMar>
            <w:vAlign w:val="bottom"/>
          </w:tcPr>
          <w:p w14:paraId="5F0B2450" w14:textId="77777777" w:rsidR="00F9392A" w:rsidRDefault="00F9392A"/>
        </w:tc>
        <w:tc>
          <w:tcPr>
            <w:tcW w:w="270" w:type="dxa"/>
            <w:tcBorders>
              <w:top w:val="nil"/>
              <w:left w:val="nil"/>
              <w:bottom w:val="nil"/>
              <w:right w:val="nil"/>
            </w:tcBorders>
            <w:shd w:val="clear" w:color="auto" w:fill="FFFFFF"/>
            <w:tcMar>
              <w:top w:w="0" w:type="dxa"/>
              <w:left w:w="0" w:type="dxa"/>
              <w:bottom w:w="0" w:type="dxa"/>
              <w:right w:w="0" w:type="dxa"/>
            </w:tcMar>
            <w:vAlign w:val="bottom"/>
          </w:tcPr>
          <w:p w14:paraId="497CFB9C" w14:textId="77777777" w:rsidR="00F9392A" w:rsidRDefault="00F9392A"/>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5ACD74C0" w14:textId="77777777" w:rsidR="00F9392A" w:rsidRDefault="00F9392A"/>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1704C4DE" w14:textId="77777777" w:rsidR="00F9392A" w:rsidRDefault="00F9392A"/>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2D012755" w14:textId="77777777" w:rsidR="00F9392A" w:rsidRDefault="00F9392A"/>
        </w:tc>
      </w:tr>
      <w:tr w:rsidR="00F9392A" w14:paraId="0050C1E1"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03995900" w14:textId="77777777" w:rsidR="00F9392A" w:rsidRDefault="000F0826">
            <w:pPr>
              <w:widowControl w:val="0"/>
              <w:spacing w:line="200" w:lineRule="auto"/>
            </w:pPr>
            <w:r>
              <w:rPr>
                <w:sz w:val="20"/>
              </w:rPr>
              <w:t xml:space="preserve">Adjusted EBITDA attributable to the Partnership </w:t>
            </w:r>
            <w:r>
              <w:rPr>
                <w:sz w:val="20"/>
                <w:vertAlign w:val="superscript"/>
              </w:rPr>
              <w:t>(1)</w:t>
            </w:r>
          </w:p>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2CF80B40" w14:textId="77777777" w:rsidR="00F9392A" w:rsidRDefault="00F9392A"/>
        </w:tc>
        <w:tc>
          <w:tcPr>
            <w:tcW w:w="100" w:type="dxa"/>
            <w:tcBorders>
              <w:top w:val="nil"/>
              <w:left w:val="nil"/>
              <w:bottom w:val="nil"/>
              <w:right w:val="nil"/>
            </w:tcBorders>
            <w:shd w:val="clear" w:color="auto" w:fill="CCEEFF"/>
            <w:tcMar>
              <w:top w:w="0" w:type="dxa"/>
              <w:left w:w="0" w:type="dxa"/>
              <w:bottom w:w="0" w:type="dxa"/>
              <w:right w:w="0" w:type="dxa"/>
            </w:tcMar>
            <w:vAlign w:val="bottom"/>
          </w:tcPr>
          <w:p w14:paraId="42D45D35" w14:textId="77777777" w:rsidR="00F9392A" w:rsidRDefault="000F0826">
            <w:pPr>
              <w:spacing w:line="200" w:lineRule="auto"/>
            </w:pPr>
            <w:r>
              <w:rPr>
                <w:sz w:val="20"/>
              </w:rPr>
              <w:t>$</w:t>
            </w:r>
          </w:p>
        </w:tc>
        <w:tc>
          <w:tcPr>
            <w:tcW w:w="1370" w:type="dxa"/>
            <w:tcBorders>
              <w:top w:val="nil"/>
              <w:left w:val="nil"/>
              <w:bottom w:val="nil"/>
              <w:right w:val="nil"/>
            </w:tcBorders>
            <w:shd w:val="clear" w:color="auto" w:fill="CCEEFF"/>
            <w:tcMar>
              <w:top w:w="0" w:type="dxa"/>
              <w:left w:w="0" w:type="dxa"/>
              <w:bottom w:w="0" w:type="dxa"/>
              <w:right w:w="0" w:type="dxa"/>
            </w:tcMar>
            <w:vAlign w:val="bottom"/>
          </w:tcPr>
          <w:p w14:paraId="6808949E" w14:textId="77777777" w:rsidR="00F9392A" w:rsidRDefault="000F0826">
            <w:pPr>
              <w:spacing w:line="200" w:lineRule="auto"/>
              <w:jc w:val="right"/>
            </w:pPr>
            <w:r>
              <w:rPr>
                <w:sz w:val="20"/>
              </w:rPr>
              <w:t>187</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2C3A4D7D" w14:textId="77777777" w:rsidR="00F9392A" w:rsidRDefault="00F9392A"/>
        </w:tc>
        <w:tc>
          <w:tcPr>
            <w:tcW w:w="100" w:type="dxa"/>
            <w:tcBorders>
              <w:top w:val="nil"/>
              <w:left w:val="nil"/>
              <w:bottom w:val="nil"/>
              <w:right w:val="nil"/>
            </w:tcBorders>
            <w:shd w:val="clear" w:color="auto" w:fill="CCEEFF"/>
            <w:tcMar>
              <w:top w:w="0" w:type="dxa"/>
              <w:left w:w="0" w:type="dxa"/>
              <w:bottom w:w="0" w:type="dxa"/>
              <w:right w:w="0" w:type="dxa"/>
            </w:tcMar>
            <w:vAlign w:val="bottom"/>
          </w:tcPr>
          <w:p w14:paraId="53BB70F4" w14:textId="77777777" w:rsidR="00F9392A" w:rsidRDefault="000F0826">
            <w:pPr>
              <w:spacing w:line="200" w:lineRule="auto"/>
            </w:pPr>
            <w:r>
              <w:rPr>
                <w:sz w:val="20"/>
              </w:rPr>
              <w:t>$</w:t>
            </w:r>
          </w:p>
        </w:tc>
        <w:tc>
          <w:tcPr>
            <w:tcW w:w="1400" w:type="dxa"/>
            <w:tcBorders>
              <w:top w:val="nil"/>
              <w:left w:val="nil"/>
              <w:bottom w:val="nil"/>
              <w:right w:val="nil"/>
            </w:tcBorders>
            <w:shd w:val="clear" w:color="auto" w:fill="CCEEFF"/>
            <w:tcMar>
              <w:top w:w="0" w:type="dxa"/>
              <w:left w:w="0" w:type="dxa"/>
              <w:bottom w:w="0" w:type="dxa"/>
              <w:right w:w="0" w:type="dxa"/>
            </w:tcMar>
            <w:vAlign w:val="bottom"/>
          </w:tcPr>
          <w:p w14:paraId="58E9117D" w14:textId="77777777" w:rsidR="00F9392A" w:rsidRDefault="000F0826">
            <w:pPr>
              <w:spacing w:line="200" w:lineRule="auto"/>
              <w:jc w:val="right"/>
            </w:pPr>
            <w:r>
              <w:rPr>
                <w:sz w:val="20"/>
              </w:rPr>
              <w:t>170</w:t>
            </w:r>
          </w:p>
        </w:tc>
      </w:tr>
      <w:tr w:rsidR="00F9392A" w14:paraId="4EA42665" w14:textId="77777777">
        <w:trPr>
          <w:trHeight w:hRule="exact" w:val="300"/>
          <w:jc w:val="center"/>
        </w:trPr>
        <w:tc>
          <w:tcPr>
            <w:tcW w:w="6990" w:type="dxa"/>
            <w:tcBorders>
              <w:top w:val="nil"/>
              <w:left w:val="nil"/>
              <w:bottom w:val="nil"/>
              <w:right w:val="nil"/>
            </w:tcBorders>
            <w:shd w:val="clear" w:color="auto" w:fill="FFFFFF"/>
            <w:tcMar>
              <w:top w:w="0" w:type="dxa"/>
              <w:left w:w="0" w:type="dxa"/>
              <w:bottom w:w="0" w:type="dxa"/>
              <w:right w:w="0" w:type="dxa"/>
            </w:tcMar>
            <w:vAlign w:val="bottom"/>
          </w:tcPr>
          <w:p w14:paraId="352A8392" w14:textId="77777777" w:rsidR="00F9392A" w:rsidRDefault="00F9392A"/>
        </w:tc>
        <w:tc>
          <w:tcPr>
            <w:tcW w:w="270" w:type="dxa"/>
            <w:tcBorders>
              <w:top w:val="nil"/>
              <w:left w:val="nil"/>
              <w:bottom w:val="nil"/>
              <w:right w:val="nil"/>
            </w:tcBorders>
            <w:shd w:val="clear" w:color="auto" w:fill="FFFFFF"/>
            <w:tcMar>
              <w:top w:w="0" w:type="dxa"/>
              <w:left w:w="0" w:type="dxa"/>
              <w:bottom w:w="0" w:type="dxa"/>
              <w:right w:w="0" w:type="dxa"/>
            </w:tcMar>
            <w:vAlign w:val="bottom"/>
          </w:tcPr>
          <w:p w14:paraId="3B063FAC" w14:textId="77777777" w:rsidR="00F9392A" w:rsidRDefault="00F9392A"/>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79C58438" w14:textId="77777777" w:rsidR="00F9392A" w:rsidRDefault="00F9392A"/>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296E5746" w14:textId="77777777" w:rsidR="00F9392A" w:rsidRDefault="00F9392A"/>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0916E6E2" w14:textId="77777777" w:rsidR="00F9392A" w:rsidRDefault="00F9392A"/>
        </w:tc>
      </w:tr>
      <w:tr w:rsidR="00F9392A" w14:paraId="6D61301A"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0A61D6AC" w14:textId="77777777" w:rsidR="00F9392A" w:rsidRDefault="000F0826">
            <w:pPr>
              <w:widowControl w:val="0"/>
              <w:spacing w:line="200" w:lineRule="auto"/>
            </w:pPr>
            <w:r>
              <w:rPr>
                <w:sz w:val="20"/>
              </w:rPr>
              <w:t xml:space="preserve">Cash available for distribution attributable to the </w:t>
            </w:r>
            <w:r>
              <w:rPr>
                <w:sz w:val="20"/>
              </w:rPr>
              <w:t>Partnership</w:t>
            </w:r>
            <w:r>
              <w:rPr>
                <w:sz w:val="20"/>
                <w:vertAlign w:val="superscript"/>
              </w:rPr>
              <w:t xml:space="preserve"> (1)</w:t>
            </w:r>
          </w:p>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66754020" w14:textId="77777777" w:rsidR="00F9392A" w:rsidRDefault="00F9392A"/>
        </w:tc>
        <w:tc>
          <w:tcPr>
            <w:tcW w:w="100" w:type="dxa"/>
            <w:tcBorders>
              <w:top w:val="nil"/>
              <w:left w:val="nil"/>
              <w:bottom w:val="nil"/>
              <w:right w:val="nil"/>
            </w:tcBorders>
            <w:shd w:val="clear" w:color="auto" w:fill="CCEEFF"/>
            <w:tcMar>
              <w:top w:w="0" w:type="dxa"/>
              <w:left w:w="0" w:type="dxa"/>
              <w:bottom w:w="0" w:type="dxa"/>
              <w:right w:w="0" w:type="dxa"/>
            </w:tcMar>
            <w:vAlign w:val="bottom"/>
          </w:tcPr>
          <w:p w14:paraId="3B29FBF1" w14:textId="77777777" w:rsidR="00F9392A" w:rsidRDefault="000F0826">
            <w:pPr>
              <w:spacing w:line="200" w:lineRule="auto"/>
            </w:pPr>
            <w:r>
              <w:rPr>
                <w:sz w:val="20"/>
              </w:rPr>
              <w:t>$</w:t>
            </w:r>
          </w:p>
        </w:tc>
        <w:tc>
          <w:tcPr>
            <w:tcW w:w="1370" w:type="dxa"/>
            <w:tcBorders>
              <w:top w:val="nil"/>
              <w:left w:val="nil"/>
              <w:bottom w:val="nil"/>
              <w:right w:val="nil"/>
            </w:tcBorders>
            <w:shd w:val="clear" w:color="auto" w:fill="CCEEFF"/>
            <w:tcMar>
              <w:top w:w="0" w:type="dxa"/>
              <w:left w:w="0" w:type="dxa"/>
              <w:bottom w:w="0" w:type="dxa"/>
              <w:right w:w="0" w:type="dxa"/>
            </w:tcMar>
            <w:vAlign w:val="bottom"/>
          </w:tcPr>
          <w:p w14:paraId="54B3311B" w14:textId="77777777" w:rsidR="00F9392A" w:rsidRDefault="000F0826">
            <w:pPr>
              <w:spacing w:line="200" w:lineRule="auto"/>
              <w:jc w:val="right"/>
            </w:pPr>
            <w:r>
              <w:rPr>
                <w:sz w:val="20"/>
              </w:rPr>
              <w:t>162</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796FA981" w14:textId="77777777" w:rsidR="00F9392A" w:rsidRDefault="00F9392A"/>
        </w:tc>
        <w:tc>
          <w:tcPr>
            <w:tcW w:w="100" w:type="dxa"/>
            <w:tcBorders>
              <w:top w:val="nil"/>
              <w:left w:val="nil"/>
              <w:bottom w:val="nil"/>
              <w:right w:val="nil"/>
            </w:tcBorders>
            <w:shd w:val="clear" w:color="auto" w:fill="CCEEFF"/>
            <w:tcMar>
              <w:top w:w="0" w:type="dxa"/>
              <w:left w:w="0" w:type="dxa"/>
              <w:bottom w:w="0" w:type="dxa"/>
              <w:right w:w="0" w:type="dxa"/>
            </w:tcMar>
            <w:vAlign w:val="bottom"/>
          </w:tcPr>
          <w:p w14:paraId="4BC6ABC1" w14:textId="77777777" w:rsidR="00F9392A" w:rsidRDefault="000F0826">
            <w:pPr>
              <w:spacing w:line="200" w:lineRule="auto"/>
            </w:pPr>
            <w:r>
              <w:rPr>
                <w:sz w:val="20"/>
              </w:rPr>
              <w:t>$</w:t>
            </w:r>
          </w:p>
        </w:tc>
        <w:tc>
          <w:tcPr>
            <w:tcW w:w="1400" w:type="dxa"/>
            <w:tcBorders>
              <w:top w:val="nil"/>
              <w:left w:val="nil"/>
              <w:bottom w:val="nil"/>
              <w:right w:val="nil"/>
            </w:tcBorders>
            <w:shd w:val="clear" w:color="auto" w:fill="CCEEFF"/>
            <w:tcMar>
              <w:top w:w="0" w:type="dxa"/>
              <w:left w:w="0" w:type="dxa"/>
              <w:bottom w:w="0" w:type="dxa"/>
              <w:right w:w="0" w:type="dxa"/>
            </w:tcMar>
            <w:vAlign w:val="bottom"/>
          </w:tcPr>
          <w:p w14:paraId="1FB7E88D" w14:textId="77777777" w:rsidR="00F9392A" w:rsidRDefault="000F0826">
            <w:pPr>
              <w:spacing w:line="200" w:lineRule="auto"/>
              <w:jc w:val="right"/>
            </w:pPr>
            <w:r>
              <w:rPr>
                <w:sz w:val="20"/>
              </w:rPr>
              <w:t>140</w:t>
            </w:r>
          </w:p>
        </w:tc>
      </w:tr>
      <w:tr w:rsidR="00F9392A" w14:paraId="5B3E8519" w14:textId="77777777">
        <w:trPr>
          <w:trHeight w:hRule="exact" w:val="300"/>
          <w:jc w:val="center"/>
        </w:trPr>
        <w:tc>
          <w:tcPr>
            <w:tcW w:w="6990" w:type="dxa"/>
            <w:tcBorders>
              <w:top w:val="nil"/>
              <w:left w:val="nil"/>
              <w:bottom w:val="nil"/>
              <w:right w:val="nil"/>
            </w:tcBorders>
            <w:shd w:val="clear" w:color="auto" w:fill="FFFFFF"/>
            <w:tcMar>
              <w:top w:w="0" w:type="dxa"/>
              <w:left w:w="0" w:type="dxa"/>
              <w:bottom w:w="0" w:type="dxa"/>
              <w:right w:w="0" w:type="dxa"/>
            </w:tcMar>
            <w:vAlign w:val="bottom"/>
          </w:tcPr>
          <w:p w14:paraId="447F4F34" w14:textId="77777777" w:rsidR="00F9392A" w:rsidRDefault="00F9392A"/>
        </w:tc>
        <w:tc>
          <w:tcPr>
            <w:tcW w:w="270" w:type="dxa"/>
            <w:tcBorders>
              <w:top w:val="nil"/>
              <w:left w:val="nil"/>
              <w:bottom w:val="nil"/>
              <w:right w:val="nil"/>
            </w:tcBorders>
            <w:shd w:val="clear" w:color="auto" w:fill="FFFFFF"/>
            <w:tcMar>
              <w:top w:w="0" w:type="dxa"/>
              <w:left w:w="0" w:type="dxa"/>
              <w:bottom w:w="0" w:type="dxa"/>
              <w:right w:w="0" w:type="dxa"/>
            </w:tcMar>
            <w:vAlign w:val="bottom"/>
          </w:tcPr>
          <w:p w14:paraId="630E5E2C" w14:textId="77777777" w:rsidR="00F9392A" w:rsidRDefault="00F9392A"/>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393FA77C" w14:textId="77777777" w:rsidR="00F9392A" w:rsidRDefault="00F9392A"/>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5A09104B" w14:textId="77777777" w:rsidR="00F9392A" w:rsidRDefault="00F9392A"/>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28C2FBB1" w14:textId="77777777" w:rsidR="00F9392A" w:rsidRDefault="00F9392A"/>
        </w:tc>
      </w:tr>
      <w:tr w:rsidR="00F9392A" w14:paraId="66A361B7"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0884FB15" w14:textId="77777777" w:rsidR="00F9392A" w:rsidRDefault="000F0826">
            <w:pPr>
              <w:spacing w:line="200" w:lineRule="auto"/>
            </w:pPr>
            <w:r>
              <w:rPr>
                <w:sz w:val="20"/>
              </w:rPr>
              <w:t>Distribution declared:</w:t>
            </w:r>
          </w:p>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70A116CA" w14:textId="77777777" w:rsidR="00F9392A" w:rsidRDefault="00F9392A"/>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6EF42C21" w14:textId="77777777" w:rsidR="00F9392A" w:rsidRDefault="00F9392A"/>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284DEBCB" w14:textId="77777777" w:rsidR="00F9392A" w:rsidRDefault="00F9392A"/>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505BA3AF" w14:textId="77777777" w:rsidR="00F9392A" w:rsidRDefault="00F9392A"/>
        </w:tc>
      </w:tr>
      <w:tr w:rsidR="00F9392A" w14:paraId="0F3B2C37"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24E88DF6" w14:textId="77777777" w:rsidR="00F9392A" w:rsidRDefault="000F0826">
            <w:pPr>
              <w:spacing w:line="200" w:lineRule="auto"/>
            </w:pPr>
            <w:r>
              <w:rPr>
                <w:sz w:val="20"/>
              </w:rPr>
              <w:t>Limited partner units - common</w:t>
            </w:r>
          </w:p>
        </w:tc>
        <w:tc>
          <w:tcPr>
            <w:tcW w:w="270" w:type="dxa"/>
            <w:tcBorders>
              <w:top w:val="nil"/>
              <w:left w:val="nil"/>
              <w:bottom w:val="nil"/>
              <w:right w:val="nil"/>
            </w:tcBorders>
            <w:shd w:val="clear" w:color="auto" w:fill="FFFFFF"/>
            <w:tcMar>
              <w:top w:w="0" w:type="dxa"/>
              <w:left w:w="0" w:type="dxa"/>
              <w:bottom w:w="0" w:type="dxa"/>
              <w:right w:w="0" w:type="dxa"/>
            </w:tcMar>
            <w:vAlign w:val="bottom"/>
          </w:tcPr>
          <w:p w14:paraId="089AE01A" w14:textId="77777777" w:rsidR="00F9392A" w:rsidRDefault="00F9392A"/>
        </w:tc>
        <w:tc>
          <w:tcPr>
            <w:tcW w:w="100" w:type="dxa"/>
            <w:tcBorders>
              <w:top w:val="nil"/>
              <w:left w:val="nil"/>
              <w:bottom w:val="nil"/>
              <w:right w:val="nil"/>
            </w:tcBorders>
            <w:shd w:val="clear" w:color="auto" w:fill="FFFFFF"/>
            <w:tcMar>
              <w:top w:w="0" w:type="dxa"/>
              <w:left w:w="0" w:type="dxa"/>
              <w:bottom w:w="0" w:type="dxa"/>
              <w:right w:w="0" w:type="dxa"/>
            </w:tcMar>
            <w:vAlign w:val="bottom"/>
          </w:tcPr>
          <w:p w14:paraId="3893EEBB" w14:textId="77777777" w:rsidR="00F9392A" w:rsidRDefault="000F0826">
            <w:pPr>
              <w:spacing w:line="200" w:lineRule="auto"/>
            </w:pPr>
            <w:r>
              <w:rPr>
                <w:sz w:val="20"/>
              </w:rPr>
              <w:t>$</w:t>
            </w:r>
          </w:p>
        </w:tc>
        <w:tc>
          <w:tcPr>
            <w:tcW w:w="1370" w:type="dxa"/>
            <w:tcBorders>
              <w:top w:val="nil"/>
              <w:left w:val="nil"/>
              <w:bottom w:val="nil"/>
              <w:right w:val="nil"/>
            </w:tcBorders>
            <w:shd w:val="clear" w:color="auto" w:fill="FFFFFF"/>
            <w:tcMar>
              <w:top w:w="0" w:type="dxa"/>
              <w:left w:w="0" w:type="dxa"/>
              <w:bottom w:w="0" w:type="dxa"/>
              <w:right w:w="0" w:type="dxa"/>
            </w:tcMar>
            <w:vAlign w:val="bottom"/>
          </w:tcPr>
          <w:p w14:paraId="1E3A58FF" w14:textId="77777777" w:rsidR="00F9392A" w:rsidRDefault="000F0826">
            <w:pPr>
              <w:spacing w:line="200" w:lineRule="auto"/>
              <w:jc w:val="right"/>
            </w:pPr>
            <w:r>
              <w:rPr>
                <w:sz w:val="20"/>
              </w:rPr>
              <w:t>100</w:t>
            </w: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3F74F90A" w14:textId="77777777" w:rsidR="00F9392A" w:rsidRDefault="00F9392A"/>
        </w:tc>
        <w:tc>
          <w:tcPr>
            <w:tcW w:w="100" w:type="dxa"/>
            <w:tcBorders>
              <w:top w:val="nil"/>
              <w:left w:val="nil"/>
              <w:bottom w:val="nil"/>
              <w:right w:val="nil"/>
            </w:tcBorders>
            <w:shd w:val="clear" w:color="auto" w:fill="FFFFFF"/>
            <w:tcMar>
              <w:top w:w="0" w:type="dxa"/>
              <w:left w:w="0" w:type="dxa"/>
              <w:bottom w:w="0" w:type="dxa"/>
              <w:right w:w="0" w:type="dxa"/>
            </w:tcMar>
            <w:vAlign w:val="bottom"/>
          </w:tcPr>
          <w:p w14:paraId="0582DCA3" w14:textId="77777777" w:rsidR="00F9392A" w:rsidRDefault="000F0826">
            <w:pPr>
              <w:spacing w:line="200" w:lineRule="auto"/>
            </w:pPr>
            <w:r>
              <w:rPr>
                <w:sz w:val="20"/>
              </w:rPr>
              <w:t>$</w:t>
            </w: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08571131" w14:textId="77777777" w:rsidR="00F9392A" w:rsidRDefault="000F0826">
            <w:pPr>
              <w:spacing w:line="200" w:lineRule="auto"/>
              <w:jc w:val="right"/>
            </w:pPr>
            <w:r>
              <w:rPr>
                <w:sz w:val="20"/>
              </w:rPr>
              <w:t>93</w:t>
            </w:r>
          </w:p>
        </w:tc>
      </w:tr>
      <w:tr w:rsidR="00F9392A" w14:paraId="2F2B5E50"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6C1C0249" w14:textId="77777777" w:rsidR="00F9392A" w:rsidRDefault="000F0826">
            <w:pPr>
              <w:spacing w:line="200" w:lineRule="auto"/>
            </w:pPr>
            <w:r>
              <w:rPr>
                <w:sz w:val="20"/>
              </w:rPr>
              <w:t>General partner units</w:t>
            </w:r>
          </w:p>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09908F3A" w14:textId="77777777" w:rsidR="00F9392A" w:rsidRDefault="00F9392A"/>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09D35C58" w14:textId="77777777" w:rsidR="00F9392A" w:rsidRDefault="000F0826">
            <w:pPr>
              <w:spacing w:line="200" w:lineRule="auto"/>
              <w:jc w:val="right"/>
            </w:pPr>
            <w:r>
              <w:rPr>
                <w:sz w:val="20"/>
              </w:rPr>
              <w:t>31</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0C8A5F42" w14:textId="77777777" w:rsidR="00F9392A" w:rsidRDefault="00F9392A"/>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33751ECD" w14:textId="77777777" w:rsidR="00F9392A" w:rsidRDefault="000F0826">
            <w:pPr>
              <w:spacing w:line="200" w:lineRule="auto"/>
              <w:jc w:val="right"/>
            </w:pPr>
            <w:r>
              <w:rPr>
                <w:sz w:val="20"/>
              </w:rPr>
              <w:t>26</w:t>
            </w:r>
          </w:p>
        </w:tc>
      </w:tr>
      <w:tr w:rsidR="00F9392A" w14:paraId="43C972E4"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2DCDF39D" w14:textId="77777777" w:rsidR="00F9392A" w:rsidRDefault="000F0826">
            <w:pPr>
              <w:spacing w:line="200" w:lineRule="auto"/>
            </w:pPr>
            <w:r>
              <w:rPr>
                <w:sz w:val="20"/>
              </w:rPr>
              <w:t>Total distribution declared</w:t>
            </w:r>
          </w:p>
        </w:tc>
        <w:tc>
          <w:tcPr>
            <w:tcW w:w="270" w:type="dxa"/>
            <w:tcBorders>
              <w:top w:val="nil"/>
              <w:left w:val="nil"/>
              <w:bottom w:val="nil"/>
              <w:right w:val="nil"/>
            </w:tcBorders>
            <w:shd w:val="clear" w:color="auto" w:fill="FFFFFF"/>
            <w:tcMar>
              <w:top w:w="0" w:type="dxa"/>
              <w:left w:w="0" w:type="dxa"/>
              <w:bottom w:w="0" w:type="dxa"/>
              <w:right w:w="0" w:type="dxa"/>
            </w:tcMar>
            <w:vAlign w:val="bottom"/>
          </w:tcPr>
          <w:p w14:paraId="51078BA0" w14:textId="77777777" w:rsidR="00F9392A" w:rsidRDefault="00F9392A"/>
        </w:tc>
        <w:tc>
          <w:tcPr>
            <w:tcW w:w="1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9845ECE" w14:textId="77777777" w:rsidR="00F9392A" w:rsidRDefault="000F0826">
            <w:pPr>
              <w:spacing w:line="200" w:lineRule="auto"/>
            </w:pPr>
            <w:r>
              <w:rPr>
                <w:sz w:val="20"/>
              </w:rPr>
              <w:t>$</w:t>
            </w:r>
          </w:p>
        </w:tc>
        <w:tc>
          <w:tcPr>
            <w:tcW w:w="137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635CAF8" w14:textId="77777777" w:rsidR="00F9392A" w:rsidRDefault="000F0826">
            <w:pPr>
              <w:spacing w:line="200" w:lineRule="auto"/>
              <w:jc w:val="right"/>
            </w:pPr>
            <w:r>
              <w:rPr>
                <w:sz w:val="20"/>
              </w:rPr>
              <w:t>131</w:t>
            </w: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68B86688" w14:textId="77777777" w:rsidR="00F9392A" w:rsidRDefault="00F9392A"/>
        </w:tc>
        <w:tc>
          <w:tcPr>
            <w:tcW w:w="1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5425277" w14:textId="77777777" w:rsidR="00F9392A" w:rsidRDefault="000F0826">
            <w:pPr>
              <w:spacing w:line="200" w:lineRule="auto"/>
            </w:pPr>
            <w:r>
              <w:rPr>
                <w:sz w:val="20"/>
              </w:rPr>
              <w:t>$</w:t>
            </w:r>
          </w:p>
        </w:tc>
        <w:tc>
          <w:tcPr>
            <w:tcW w:w="14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C6257A6" w14:textId="77777777" w:rsidR="00F9392A" w:rsidRDefault="000F0826">
            <w:pPr>
              <w:spacing w:line="200" w:lineRule="auto"/>
              <w:jc w:val="right"/>
            </w:pPr>
            <w:r>
              <w:rPr>
                <w:sz w:val="20"/>
              </w:rPr>
              <w:t>119</w:t>
            </w:r>
          </w:p>
        </w:tc>
      </w:tr>
      <w:tr w:rsidR="00F9392A" w14:paraId="655AB003" w14:textId="77777777">
        <w:trPr>
          <w:trHeight w:hRule="exact" w:val="300"/>
          <w:jc w:val="center"/>
        </w:trPr>
        <w:tc>
          <w:tcPr>
            <w:tcW w:w="6990" w:type="dxa"/>
            <w:tcBorders>
              <w:top w:val="nil"/>
              <w:left w:val="nil"/>
              <w:bottom w:val="nil"/>
              <w:right w:val="nil"/>
            </w:tcBorders>
            <w:shd w:val="clear" w:color="auto" w:fill="CCEEFF"/>
            <w:tcMar>
              <w:top w:w="0" w:type="dxa"/>
              <w:left w:w="0" w:type="dxa"/>
              <w:bottom w:w="0" w:type="dxa"/>
              <w:right w:w="0" w:type="dxa"/>
            </w:tcMar>
            <w:vAlign w:val="bottom"/>
          </w:tcPr>
          <w:p w14:paraId="22496AC6" w14:textId="77777777" w:rsidR="00F9392A" w:rsidRDefault="00F9392A"/>
        </w:tc>
        <w:tc>
          <w:tcPr>
            <w:tcW w:w="270" w:type="dxa"/>
            <w:tcBorders>
              <w:top w:val="nil"/>
              <w:left w:val="nil"/>
              <w:bottom w:val="nil"/>
              <w:right w:val="nil"/>
            </w:tcBorders>
            <w:shd w:val="clear" w:color="auto" w:fill="CCEEFF"/>
            <w:tcMar>
              <w:top w:w="0" w:type="dxa"/>
              <w:left w:w="0" w:type="dxa"/>
              <w:bottom w:w="0" w:type="dxa"/>
              <w:right w:w="0" w:type="dxa"/>
            </w:tcMar>
            <w:vAlign w:val="bottom"/>
          </w:tcPr>
          <w:p w14:paraId="7591EE84" w14:textId="77777777" w:rsidR="00F9392A" w:rsidRDefault="00F9392A"/>
        </w:tc>
        <w:tc>
          <w:tcPr>
            <w:tcW w:w="1470"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14:paraId="7A782DD1" w14:textId="77777777" w:rsidR="00F9392A" w:rsidRDefault="00F9392A"/>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6F82B278" w14:textId="77777777" w:rsidR="00F9392A" w:rsidRDefault="00F9392A"/>
        </w:tc>
        <w:tc>
          <w:tcPr>
            <w:tcW w:w="1500"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14:paraId="04059611" w14:textId="77777777" w:rsidR="00F9392A" w:rsidRDefault="00F9392A"/>
        </w:tc>
      </w:tr>
      <w:tr w:rsidR="00F9392A" w14:paraId="66C9ACE8"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631F58E0" w14:textId="77777777" w:rsidR="00F9392A" w:rsidRDefault="000F0826">
            <w:pPr>
              <w:widowControl w:val="0"/>
              <w:spacing w:line="200" w:lineRule="auto"/>
            </w:pPr>
            <w:r>
              <w:rPr>
                <w:sz w:val="20"/>
              </w:rPr>
              <w:t>Coverage Ratio</w:t>
            </w:r>
            <w:r>
              <w:rPr>
                <w:sz w:val="20"/>
                <w:vertAlign w:val="superscript"/>
              </w:rPr>
              <w:t xml:space="preserve"> (2)</w:t>
            </w:r>
          </w:p>
        </w:tc>
        <w:tc>
          <w:tcPr>
            <w:tcW w:w="270" w:type="dxa"/>
            <w:tcBorders>
              <w:top w:val="nil"/>
              <w:left w:val="nil"/>
              <w:bottom w:val="nil"/>
              <w:right w:val="nil"/>
            </w:tcBorders>
            <w:shd w:val="clear" w:color="auto" w:fill="FFFFFF"/>
            <w:tcMar>
              <w:top w:w="0" w:type="dxa"/>
              <w:left w:w="0" w:type="dxa"/>
              <w:bottom w:w="0" w:type="dxa"/>
              <w:right w:w="0" w:type="dxa"/>
            </w:tcMar>
            <w:vAlign w:val="bottom"/>
          </w:tcPr>
          <w:p w14:paraId="44A177E5" w14:textId="77777777" w:rsidR="00F9392A" w:rsidRDefault="00F9392A"/>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018162F6" w14:textId="77777777" w:rsidR="00F9392A" w:rsidRDefault="000F0826">
            <w:pPr>
              <w:spacing w:line="200" w:lineRule="auto"/>
              <w:jc w:val="right"/>
            </w:pPr>
            <w:r>
              <w:rPr>
                <w:sz w:val="20"/>
              </w:rPr>
              <w:t>1.2</w:t>
            </w: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5BBE37E1" w14:textId="77777777" w:rsidR="00F9392A" w:rsidRDefault="00F9392A"/>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2B729BA4" w14:textId="77777777" w:rsidR="00F9392A" w:rsidRDefault="000F0826">
            <w:pPr>
              <w:spacing w:line="200" w:lineRule="auto"/>
              <w:jc w:val="right"/>
            </w:pPr>
            <w:r>
              <w:rPr>
                <w:sz w:val="20"/>
              </w:rPr>
              <w:t>1.2</w:t>
            </w:r>
          </w:p>
        </w:tc>
      </w:tr>
    </w:tbl>
    <w:p w14:paraId="61FB2150" w14:textId="77777777" w:rsidR="00F9392A" w:rsidRDefault="000F0826">
      <w:pPr>
        <w:spacing w:before="120"/>
      </w:pPr>
      <w:r>
        <w:rPr>
          <w:i/>
          <w:color w:val="000000"/>
          <w:sz w:val="18"/>
          <w:vertAlign w:val="superscript"/>
        </w:rPr>
        <w:t>(1)</w:t>
      </w:r>
      <w:r>
        <w:rPr>
          <w:i/>
          <w:color w:val="000000"/>
          <w:sz w:val="18"/>
        </w:rPr>
        <w:t xml:space="preserve"> Non-GAAP measures. See reconciliation tables earlier in this press release. </w:t>
      </w:r>
    </w:p>
    <w:p w14:paraId="7A39DC84" w14:textId="77777777" w:rsidR="00F9392A" w:rsidRDefault="000F0826">
      <w:r>
        <w:rPr>
          <w:i/>
          <w:color w:val="000000"/>
          <w:sz w:val="18"/>
          <w:vertAlign w:val="superscript"/>
        </w:rPr>
        <w:t>(2)</w:t>
      </w:r>
      <w:r>
        <w:rPr>
          <w:i/>
          <w:color w:val="000000"/>
          <w:sz w:val="18"/>
        </w:rPr>
        <w:t xml:space="preserve"> Coverage ratio is equal to Cash available for distribution attributable to the Partnership divided by Total distribution declared.</w:t>
      </w:r>
    </w:p>
    <w:p w14:paraId="18CDA7B8" w14:textId="77777777" w:rsidR="00F9392A" w:rsidRDefault="00F9392A"/>
    <w:p w14:paraId="24A809C0" w14:textId="77777777" w:rsidR="00F9392A" w:rsidRDefault="00F9392A"/>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1"/>
        <w:gridCol w:w="239"/>
        <w:gridCol w:w="100"/>
        <w:gridCol w:w="1457"/>
        <w:gridCol w:w="75"/>
        <w:gridCol w:w="100"/>
        <w:gridCol w:w="1338"/>
      </w:tblGrid>
      <w:tr w:rsidR="00F9392A" w14:paraId="2EB3689D" w14:textId="77777777">
        <w:trPr>
          <w:trHeight w:hRule="exact" w:val="300"/>
          <w:jc w:val="center"/>
        </w:trPr>
        <w:tc>
          <w:tcPr>
            <w:tcW w:w="8835" w:type="dxa"/>
            <w:gridSpan w:val="7"/>
            <w:tcBorders>
              <w:top w:val="nil"/>
              <w:left w:val="nil"/>
              <w:bottom w:val="nil"/>
              <w:right w:val="nil"/>
            </w:tcBorders>
            <w:shd w:val="clear" w:color="auto" w:fill="auto"/>
            <w:tcMar>
              <w:top w:w="75" w:type="dxa"/>
              <w:left w:w="53" w:type="dxa"/>
              <w:bottom w:w="30" w:type="dxa"/>
              <w:right w:w="53" w:type="dxa"/>
            </w:tcMar>
            <w:vAlign w:val="bottom"/>
          </w:tcPr>
          <w:p w14:paraId="5D8ABE4D" w14:textId="77777777" w:rsidR="00F9392A" w:rsidRDefault="000F0826">
            <w:pPr>
              <w:spacing w:line="200" w:lineRule="auto"/>
            </w:pPr>
            <w:r>
              <w:rPr>
                <w:b/>
                <w:sz w:val="22"/>
              </w:rPr>
              <w:t>Capital Expenditures and Investments</w:t>
            </w:r>
          </w:p>
        </w:tc>
      </w:tr>
      <w:tr w:rsidR="00F9392A" w14:paraId="2852EB9C" w14:textId="77777777">
        <w:trPr>
          <w:trHeight w:hRule="exact" w:val="300"/>
          <w:jc w:val="center"/>
        </w:trPr>
        <w:tc>
          <w:tcPr>
            <w:tcW w:w="5520" w:type="dxa"/>
            <w:tcBorders>
              <w:top w:val="nil"/>
              <w:left w:val="nil"/>
              <w:bottom w:val="nil"/>
              <w:right w:val="nil"/>
            </w:tcBorders>
            <w:shd w:val="clear" w:color="auto" w:fill="auto"/>
            <w:tcMar>
              <w:top w:w="75" w:type="dxa"/>
              <w:left w:w="53" w:type="dxa"/>
              <w:bottom w:w="30" w:type="dxa"/>
              <w:right w:w="53" w:type="dxa"/>
            </w:tcMar>
            <w:vAlign w:val="bottom"/>
          </w:tcPr>
          <w:p w14:paraId="33C1244E" w14:textId="77777777" w:rsidR="00F9392A" w:rsidRDefault="00F9392A">
            <w:pPr>
              <w:spacing w:line="200" w:lineRule="auto"/>
            </w:pPr>
          </w:p>
        </w:tc>
        <w:tc>
          <w:tcPr>
            <w:tcW w:w="240" w:type="dxa"/>
            <w:tcBorders>
              <w:top w:val="nil"/>
              <w:left w:val="nil"/>
              <w:bottom w:val="nil"/>
              <w:right w:val="nil"/>
            </w:tcBorders>
            <w:shd w:val="clear" w:color="auto" w:fill="auto"/>
            <w:tcMar>
              <w:top w:w="0" w:type="dxa"/>
              <w:left w:w="0" w:type="dxa"/>
              <w:bottom w:w="0" w:type="dxa"/>
              <w:right w:w="0" w:type="dxa"/>
            </w:tcMar>
            <w:vAlign w:val="bottom"/>
          </w:tcPr>
          <w:p w14:paraId="139A92F0" w14:textId="77777777" w:rsidR="00F9392A" w:rsidRDefault="00F9392A"/>
        </w:tc>
        <w:tc>
          <w:tcPr>
            <w:tcW w:w="3075" w:type="dxa"/>
            <w:gridSpan w:val="5"/>
            <w:tcBorders>
              <w:top w:val="nil"/>
              <w:left w:val="nil"/>
              <w:bottom w:val="nil"/>
              <w:right w:val="nil"/>
            </w:tcBorders>
            <w:shd w:val="clear" w:color="auto" w:fill="auto"/>
            <w:tcMar>
              <w:top w:w="75" w:type="dxa"/>
              <w:left w:w="53" w:type="dxa"/>
              <w:bottom w:w="30" w:type="dxa"/>
              <w:right w:w="53" w:type="dxa"/>
            </w:tcMar>
            <w:vAlign w:val="bottom"/>
          </w:tcPr>
          <w:p w14:paraId="2C03C96B" w14:textId="77777777" w:rsidR="00F9392A" w:rsidRDefault="000F0826">
            <w:pPr>
              <w:spacing w:line="200" w:lineRule="auto"/>
              <w:jc w:val="center"/>
            </w:pPr>
            <w:r>
              <w:rPr>
                <w:b/>
                <w:sz w:val="16"/>
              </w:rPr>
              <w:t>For the Three Months Ended</w:t>
            </w:r>
          </w:p>
        </w:tc>
      </w:tr>
      <w:tr w:rsidR="00F9392A" w14:paraId="61F4910D" w14:textId="77777777">
        <w:trPr>
          <w:trHeight w:hRule="exact" w:val="255"/>
          <w:jc w:val="center"/>
        </w:trPr>
        <w:tc>
          <w:tcPr>
            <w:tcW w:w="5520" w:type="dxa"/>
            <w:tcBorders>
              <w:top w:val="nil"/>
              <w:left w:val="nil"/>
              <w:bottom w:val="nil"/>
              <w:right w:val="nil"/>
            </w:tcBorders>
            <w:shd w:val="clear" w:color="auto" w:fill="auto"/>
            <w:tcMar>
              <w:top w:w="0" w:type="dxa"/>
              <w:left w:w="0" w:type="dxa"/>
              <w:bottom w:w="0" w:type="dxa"/>
              <w:right w:w="0" w:type="dxa"/>
            </w:tcMar>
            <w:vAlign w:val="bottom"/>
          </w:tcPr>
          <w:p w14:paraId="10257C11" w14:textId="77777777" w:rsidR="00F9392A" w:rsidRDefault="00F9392A"/>
        </w:tc>
        <w:tc>
          <w:tcPr>
            <w:tcW w:w="240" w:type="dxa"/>
            <w:tcBorders>
              <w:top w:val="nil"/>
              <w:left w:val="nil"/>
              <w:bottom w:val="nil"/>
              <w:right w:val="nil"/>
            </w:tcBorders>
            <w:shd w:val="clear" w:color="auto" w:fill="auto"/>
            <w:tcMar>
              <w:top w:w="0" w:type="dxa"/>
              <w:left w:w="0" w:type="dxa"/>
              <w:bottom w:w="0" w:type="dxa"/>
              <w:right w:w="0" w:type="dxa"/>
            </w:tcMar>
            <w:vAlign w:val="bottom"/>
          </w:tcPr>
          <w:p w14:paraId="09155B17" w14:textId="77777777" w:rsidR="00F9392A" w:rsidRDefault="00F9392A"/>
        </w:tc>
        <w:tc>
          <w:tcPr>
            <w:tcW w:w="1560"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14:paraId="13543CB4" w14:textId="77777777" w:rsidR="00F9392A" w:rsidRDefault="000F0826">
            <w:pPr>
              <w:spacing w:line="200" w:lineRule="auto"/>
              <w:jc w:val="center"/>
            </w:pPr>
            <w:r>
              <w:rPr>
                <w:b/>
                <w:sz w:val="16"/>
              </w:rPr>
              <w:t>June 30, 2019</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14:paraId="21A97379" w14:textId="77777777" w:rsidR="00F9392A" w:rsidRDefault="00F9392A"/>
        </w:tc>
        <w:tc>
          <w:tcPr>
            <w:tcW w:w="1440"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14:paraId="7CBFB7A1" w14:textId="77777777" w:rsidR="00F9392A" w:rsidRDefault="000F0826">
            <w:pPr>
              <w:spacing w:line="200" w:lineRule="auto"/>
              <w:jc w:val="center"/>
            </w:pPr>
            <w:r>
              <w:rPr>
                <w:b/>
                <w:sz w:val="16"/>
              </w:rPr>
              <w:t>March 31, 2019</w:t>
            </w:r>
          </w:p>
        </w:tc>
      </w:tr>
      <w:tr w:rsidR="00F9392A" w14:paraId="434F3C72" w14:textId="77777777">
        <w:trPr>
          <w:trHeight w:hRule="exact" w:val="300"/>
          <w:jc w:val="center"/>
        </w:trPr>
        <w:tc>
          <w:tcPr>
            <w:tcW w:w="5520" w:type="dxa"/>
            <w:tcBorders>
              <w:top w:val="nil"/>
              <w:left w:val="nil"/>
              <w:bottom w:val="nil"/>
              <w:right w:val="nil"/>
            </w:tcBorders>
            <w:shd w:val="clear" w:color="auto" w:fill="CCEEFF"/>
            <w:tcMar>
              <w:top w:w="75" w:type="dxa"/>
              <w:left w:w="53" w:type="dxa"/>
              <w:bottom w:w="30" w:type="dxa"/>
              <w:right w:w="53" w:type="dxa"/>
            </w:tcMar>
            <w:vAlign w:val="bottom"/>
          </w:tcPr>
          <w:p w14:paraId="7E6D7969" w14:textId="77777777" w:rsidR="00F9392A" w:rsidRDefault="000F0826">
            <w:pPr>
              <w:spacing w:line="200" w:lineRule="auto"/>
            </w:pPr>
            <w:r>
              <w:rPr>
                <w:sz w:val="20"/>
              </w:rPr>
              <w:t xml:space="preserve">Expansion </w:t>
            </w:r>
            <w:r>
              <w:rPr>
                <w:sz w:val="20"/>
              </w:rPr>
              <w:t>capital expenditures</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48D79B3E" w14:textId="77777777" w:rsidR="00F9392A" w:rsidRDefault="00F9392A"/>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26B7B28" w14:textId="77777777" w:rsidR="00F9392A" w:rsidRDefault="000F0826">
            <w:pPr>
              <w:spacing w:line="200" w:lineRule="auto"/>
            </w:pPr>
            <w:r>
              <w:rPr>
                <w:sz w:val="20"/>
              </w:rPr>
              <w:t>$</w:t>
            </w:r>
          </w:p>
        </w:tc>
        <w:tc>
          <w:tcPr>
            <w:tcW w:w="14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0607B02" w14:textId="77777777" w:rsidR="00F9392A" w:rsidRDefault="000F0826">
            <w:pPr>
              <w:spacing w:line="200" w:lineRule="auto"/>
              <w:jc w:val="right"/>
            </w:pPr>
            <w:r>
              <w:rPr>
                <w:sz w:val="20"/>
              </w:rPr>
              <w:t>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05BCE86" w14:textId="77777777" w:rsidR="00F9392A" w:rsidRDefault="00F9392A"/>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D0EB980" w14:textId="77777777" w:rsidR="00F9392A" w:rsidRDefault="000F0826">
            <w:pPr>
              <w:spacing w:line="200" w:lineRule="auto"/>
            </w:pPr>
            <w:r>
              <w:rPr>
                <w:sz w:val="20"/>
              </w:rPr>
              <w:t>$</w:t>
            </w:r>
          </w:p>
        </w:tc>
        <w:tc>
          <w:tcPr>
            <w:tcW w:w="13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8EF66FF" w14:textId="77777777" w:rsidR="00F9392A" w:rsidRDefault="000F0826">
            <w:pPr>
              <w:spacing w:line="200" w:lineRule="auto"/>
              <w:jc w:val="right"/>
            </w:pPr>
            <w:r>
              <w:rPr>
                <w:sz w:val="20"/>
              </w:rPr>
              <w:t>5</w:t>
            </w:r>
          </w:p>
        </w:tc>
      </w:tr>
      <w:tr w:rsidR="00F9392A" w14:paraId="65213FD0" w14:textId="77777777">
        <w:trPr>
          <w:trHeight w:hRule="exact" w:val="300"/>
          <w:jc w:val="center"/>
        </w:trPr>
        <w:tc>
          <w:tcPr>
            <w:tcW w:w="5520" w:type="dxa"/>
            <w:tcBorders>
              <w:top w:val="nil"/>
              <w:left w:val="nil"/>
              <w:bottom w:val="nil"/>
              <w:right w:val="nil"/>
            </w:tcBorders>
            <w:shd w:val="clear" w:color="auto" w:fill="FFFFFF"/>
            <w:tcMar>
              <w:top w:w="75" w:type="dxa"/>
              <w:left w:w="53" w:type="dxa"/>
              <w:bottom w:w="30" w:type="dxa"/>
              <w:right w:w="53" w:type="dxa"/>
            </w:tcMar>
            <w:vAlign w:val="bottom"/>
          </w:tcPr>
          <w:p w14:paraId="51CECC43" w14:textId="77777777" w:rsidR="00F9392A" w:rsidRDefault="000F0826">
            <w:pPr>
              <w:spacing w:line="200" w:lineRule="auto"/>
            </w:pPr>
            <w:r>
              <w:rPr>
                <w:sz w:val="20"/>
              </w:rPr>
              <w:t>Maintenance capital expenditures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057F00EF" w14:textId="77777777" w:rsidR="00F9392A" w:rsidRDefault="00F9392A"/>
        </w:tc>
        <w:tc>
          <w:tcPr>
            <w:tcW w:w="1560" w:type="dxa"/>
            <w:gridSpan w:val="2"/>
            <w:tcBorders>
              <w:top w:val="nil"/>
              <w:left w:val="nil"/>
              <w:bottom w:val="nil"/>
              <w:right w:val="nil"/>
            </w:tcBorders>
            <w:shd w:val="clear" w:color="auto" w:fill="FFFFFF"/>
            <w:tcMar>
              <w:top w:w="0" w:type="dxa"/>
              <w:left w:w="0" w:type="dxa"/>
              <w:bottom w:w="0" w:type="dxa"/>
              <w:right w:w="0" w:type="dxa"/>
            </w:tcMar>
            <w:vAlign w:val="bottom"/>
          </w:tcPr>
          <w:p w14:paraId="74537516" w14:textId="77777777" w:rsidR="00F9392A" w:rsidRDefault="000F0826">
            <w:pPr>
              <w:spacing w:line="200" w:lineRule="auto"/>
              <w:jc w:val="right"/>
            </w:pPr>
            <w:r>
              <w:rPr>
                <w:sz w:val="20"/>
              </w:rPr>
              <w:t>11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0BFC9E6" w14:textId="77777777" w:rsidR="00F9392A" w:rsidRDefault="00F9392A"/>
        </w:tc>
        <w:tc>
          <w:tcPr>
            <w:tcW w:w="1440" w:type="dxa"/>
            <w:gridSpan w:val="2"/>
            <w:tcBorders>
              <w:top w:val="nil"/>
              <w:left w:val="nil"/>
              <w:bottom w:val="nil"/>
              <w:right w:val="nil"/>
            </w:tcBorders>
            <w:shd w:val="clear" w:color="auto" w:fill="FFFFFF"/>
            <w:tcMar>
              <w:top w:w="0" w:type="dxa"/>
              <w:left w:w="0" w:type="dxa"/>
              <w:bottom w:w="0" w:type="dxa"/>
              <w:right w:w="0" w:type="dxa"/>
            </w:tcMar>
            <w:vAlign w:val="bottom"/>
          </w:tcPr>
          <w:p w14:paraId="18B14E9B" w14:textId="77777777" w:rsidR="00F9392A" w:rsidRDefault="000F0826">
            <w:pPr>
              <w:spacing w:line="200" w:lineRule="auto"/>
              <w:jc w:val="right"/>
            </w:pPr>
            <w:r>
              <w:rPr>
                <w:sz w:val="20"/>
              </w:rPr>
              <w:t>5</w:t>
            </w:r>
          </w:p>
        </w:tc>
      </w:tr>
      <w:tr w:rsidR="00F9392A" w14:paraId="7C6E41EA" w14:textId="77777777">
        <w:trPr>
          <w:trHeight w:hRule="exact" w:val="300"/>
          <w:jc w:val="center"/>
        </w:trPr>
        <w:tc>
          <w:tcPr>
            <w:tcW w:w="5520" w:type="dxa"/>
            <w:tcBorders>
              <w:top w:val="nil"/>
              <w:left w:val="nil"/>
              <w:bottom w:val="nil"/>
              <w:right w:val="nil"/>
            </w:tcBorders>
            <w:shd w:val="clear" w:color="auto" w:fill="CCEEFF"/>
            <w:tcMar>
              <w:top w:w="75" w:type="dxa"/>
              <w:left w:w="53" w:type="dxa"/>
              <w:bottom w:w="30" w:type="dxa"/>
              <w:right w:w="53" w:type="dxa"/>
            </w:tcMar>
            <w:vAlign w:val="bottom"/>
          </w:tcPr>
          <w:p w14:paraId="4799EE8C" w14:textId="77777777" w:rsidR="00F9392A" w:rsidRDefault="000F0826">
            <w:pPr>
              <w:spacing w:line="200" w:lineRule="auto"/>
            </w:pPr>
            <w:r>
              <w:rPr>
                <w:sz w:val="20"/>
              </w:rPr>
              <w:t>Total capital expenditures paid</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77613E7B" w14:textId="77777777" w:rsidR="00F9392A" w:rsidRDefault="00F9392A"/>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8A6FBC7" w14:textId="77777777" w:rsidR="00F9392A" w:rsidRDefault="000F0826">
            <w:pPr>
              <w:spacing w:line="200" w:lineRule="auto"/>
            </w:pPr>
            <w:r>
              <w:rPr>
                <w:sz w:val="20"/>
              </w:rPr>
              <w:t>$</w:t>
            </w:r>
          </w:p>
        </w:tc>
        <w:tc>
          <w:tcPr>
            <w:tcW w:w="14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915EE50" w14:textId="77777777" w:rsidR="00F9392A" w:rsidRDefault="000F0826">
            <w:pPr>
              <w:spacing w:line="200" w:lineRule="auto"/>
              <w:jc w:val="right"/>
            </w:pPr>
            <w:r>
              <w:rPr>
                <w:sz w:val="20"/>
              </w:rPr>
              <w:t>13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96457EB" w14:textId="77777777" w:rsidR="00F9392A" w:rsidRDefault="00F9392A"/>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98D9894" w14:textId="77777777" w:rsidR="00F9392A" w:rsidRDefault="000F0826">
            <w:pPr>
              <w:spacing w:line="200" w:lineRule="auto"/>
            </w:pPr>
            <w:r>
              <w:rPr>
                <w:sz w:val="20"/>
              </w:rPr>
              <w:t>$</w:t>
            </w:r>
          </w:p>
        </w:tc>
        <w:tc>
          <w:tcPr>
            <w:tcW w:w="13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823472B" w14:textId="77777777" w:rsidR="00F9392A" w:rsidRDefault="000F0826">
            <w:pPr>
              <w:spacing w:line="200" w:lineRule="auto"/>
              <w:jc w:val="right"/>
            </w:pPr>
            <w:r>
              <w:rPr>
                <w:sz w:val="20"/>
              </w:rPr>
              <w:t>10</w:t>
            </w:r>
          </w:p>
        </w:tc>
      </w:tr>
      <w:tr w:rsidR="00F9392A" w14:paraId="23DD8475" w14:textId="77777777">
        <w:trPr>
          <w:trHeight w:hRule="exact" w:val="300"/>
          <w:jc w:val="center"/>
        </w:trPr>
        <w:tc>
          <w:tcPr>
            <w:tcW w:w="5520" w:type="dxa"/>
            <w:tcBorders>
              <w:top w:val="nil"/>
              <w:left w:val="nil"/>
              <w:bottom w:val="nil"/>
              <w:right w:val="nil"/>
            </w:tcBorders>
            <w:shd w:val="clear" w:color="auto" w:fill="FFFFFF"/>
            <w:tcMar>
              <w:top w:w="75" w:type="dxa"/>
              <w:left w:w="53" w:type="dxa"/>
              <w:bottom w:w="30" w:type="dxa"/>
              <w:right w:w="53" w:type="dxa"/>
            </w:tcMar>
            <w:vAlign w:val="bottom"/>
          </w:tcPr>
          <w:p w14:paraId="2CE3B39B" w14:textId="77777777" w:rsidR="00F9392A" w:rsidRDefault="000F0826">
            <w:pPr>
              <w:spacing w:line="200" w:lineRule="auto"/>
            </w:pPr>
            <w:r>
              <w:rPr>
                <w:sz w:val="20"/>
              </w:rPr>
              <w:t>Contributions to investment</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366E160E" w14:textId="77777777" w:rsidR="00F9392A" w:rsidRDefault="00F9392A"/>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3850DB45" w14:textId="77777777" w:rsidR="00F9392A" w:rsidRDefault="000F0826">
            <w:pPr>
              <w:spacing w:line="200" w:lineRule="auto"/>
            </w:pPr>
            <w:r>
              <w:rPr>
                <w:sz w:val="20"/>
              </w:rPr>
              <w:t>$</w:t>
            </w:r>
          </w:p>
        </w:tc>
        <w:tc>
          <w:tcPr>
            <w:tcW w:w="1460"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10F8CB26" w14:textId="77777777" w:rsidR="00F9392A" w:rsidRDefault="000F0826">
            <w:pPr>
              <w:spacing w:line="200" w:lineRule="auto"/>
              <w:jc w:val="right"/>
            </w:pPr>
            <w:r>
              <w:rPr>
                <w:sz w:val="20"/>
              </w:rPr>
              <w:t>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396258E" w14:textId="77777777" w:rsidR="00F9392A" w:rsidRDefault="00F9392A"/>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222B8DA2" w14:textId="77777777" w:rsidR="00F9392A" w:rsidRDefault="000F0826">
            <w:pPr>
              <w:spacing w:line="200" w:lineRule="auto"/>
            </w:pPr>
            <w:r>
              <w:rPr>
                <w:sz w:val="20"/>
              </w:rPr>
              <w:t>$</w:t>
            </w:r>
          </w:p>
        </w:tc>
        <w:tc>
          <w:tcPr>
            <w:tcW w:w="1340"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7BE5398B" w14:textId="77777777" w:rsidR="00F9392A" w:rsidRDefault="000F0826">
            <w:pPr>
              <w:spacing w:line="200" w:lineRule="auto"/>
              <w:jc w:val="right"/>
            </w:pPr>
            <w:r>
              <w:rPr>
                <w:sz w:val="20"/>
              </w:rPr>
              <w:t>5</w:t>
            </w:r>
          </w:p>
        </w:tc>
      </w:tr>
    </w:tbl>
    <w:p w14:paraId="042F32D5" w14:textId="77777777" w:rsidR="00F9392A" w:rsidRDefault="00F9392A">
      <w:pPr>
        <w:spacing w:before="120"/>
        <w:ind w:left="180" w:firstLine="180"/>
      </w:pPr>
    </w:p>
    <w:p w14:paraId="21BDBCF1" w14:textId="77777777" w:rsidR="00F9392A" w:rsidRDefault="00F9392A">
      <w:pPr>
        <w:ind w:left="180" w:hanging="180"/>
      </w:pPr>
    </w:p>
    <w:p w14:paraId="07063FCC" w14:textId="77777777" w:rsidR="00F9392A" w:rsidRDefault="00F9392A">
      <w:pPr>
        <w:jc w:val="center"/>
      </w:pPr>
    </w:p>
    <w:p w14:paraId="15CA2B36" w14:textId="77777777" w:rsidR="00F9392A" w:rsidRDefault="00F9392A">
      <w:pPr>
        <w:jc w:val="center"/>
      </w:pP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239"/>
        <w:gridCol w:w="100"/>
        <w:gridCol w:w="1456"/>
        <w:gridCol w:w="90"/>
        <w:gridCol w:w="100"/>
        <w:gridCol w:w="1352"/>
      </w:tblGrid>
      <w:tr w:rsidR="00F9392A" w14:paraId="7B0FA2D1" w14:textId="77777777">
        <w:trPr>
          <w:trHeight w:hRule="exact" w:val="300"/>
          <w:jc w:val="center"/>
        </w:trPr>
        <w:tc>
          <w:tcPr>
            <w:tcW w:w="8745" w:type="dxa"/>
            <w:gridSpan w:val="7"/>
            <w:tcBorders>
              <w:top w:val="nil"/>
              <w:left w:val="nil"/>
              <w:bottom w:val="nil"/>
              <w:right w:val="nil"/>
            </w:tcBorders>
            <w:shd w:val="clear" w:color="auto" w:fill="auto"/>
            <w:tcMar>
              <w:top w:w="75" w:type="dxa"/>
              <w:left w:w="53" w:type="dxa"/>
              <w:bottom w:w="30" w:type="dxa"/>
              <w:right w:w="53" w:type="dxa"/>
            </w:tcMar>
            <w:vAlign w:val="bottom"/>
          </w:tcPr>
          <w:p w14:paraId="07E86FA4" w14:textId="77777777" w:rsidR="00F9392A" w:rsidRDefault="000F0826">
            <w:pPr>
              <w:spacing w:line="200" w:lineRule="auto"/>
            </w:pPr>
            <w:r>
              <w:rPr>
                <w:b/>
                <w:sz w:val="22"/>
              </w:rPr>
              <w:t>Condensed Consolidated Balance Sheet Information</w:t>
            </w:r>
          </w:p>
        </w:tc>
      </w:tr>
      <w:tr w:rsidR="00F9392A" w14:paraId="55E71D0D" w14:textId="77777777">
        <w:trPr>
          <w:trHeight w:hRule="exact" w:val="300"/>
          <w:jc w:val="center"/>
        </w:trPr>
        <w:tc>
          <w:tcPr>
            <w:tcW w:w="5400" w:type="dxa"/>
            <w:tcBorders>
              <w:top w:val="nil"/>
              <w:left w:val="nil"/>
              <w:bottom w:val="nil"/>
              <w:right w:val="nil"/>
            </w:tcBorders>
            <w:shd w:val="clear" w:color="auto" w:fill="auto"/>
            <w:tcMar>
              <w:top w:w="75" w:type="dxa"/>
              <w:left w:w="53" w:type="dxa"/>
              <w:bottom w:w="30" w:type="dxa"/>
              <w:right w:w="53" w:type="dxa"/>
            </w:tcMar>
            <w:vAlign w:val="bottom"/>
          </w:tcPr>
          <w:p w14:paraId="21E62DA1" w14:textId="77777777" w:rsidR="00F9392A" w:rsidRDefault="00F9392A">
            <w:pPr>
              <w:spacing w:line="200" w:lineRule="auto"/>
            </w:pPr>
          </w:p>
        </w:tc>
        <w:tc>
          <w:tcPr>
            <w:tcW w:w="240" w:type="dxa"/>
            <w:tcBorders>
              <w:top w:val="nil"/>
              <w:left w:val="nil"/>
              <w:bottom w:val="nil"/>
              <w:right w:val="nil"/>
            </w:tcBorders>
            <w:shd w:val="clear" w:color="auto" w:fill="auto"/>
            <w:tcMar>
              <w:top w:w="0" w:type="dxa"/>
              <w:left w:w="0" w:type="dxa"/>
              <w:bottom w:w="0" w:type="dxa"/>
              <w:right w:w="0" w:type="dxa"/>
            </w:tcMar>
            <w:vAlign w:val="bottom"/>
          </w:tcPr>
          <w:p w14:paraId="16713D27" w14:textId="77777777" w:rsidR="00F9392A" w:rsidRDefault="00F9392A"/>
        </w:tc>
        <w:tc>
          <w:tcPr>
            <w:tcW w:w="1560" w:type="dxa"/>
            <w:gridSpan w:val="2"/>
            <w:tcBorders>
              <w:top w:val="nil"/>
              <w:left w:val="nil"/>
              <w:bottom w:val="nil"/>
              <w:right w:val="nil"/>
            </w:tcBorders>
            <w:shd w:val="clear" w:color="auto" w:fill="auto"/>
            <w:tcMar>
              <w:top w:w="75" w:type="dxa"/>
              <w:left w:w="53" w:type="dxa"/>
              <w:bottom w:w="30" w:type="dxa"/>
              <w:right w:w="53" w:type="dxa"/>
            </w:tcMar>
            <w:vAlign w:val="bottom"/>
          </w:tcPr>
          <w:p w14:paraId="1143B579" w14:textId="77777777" w:rsidR="00F9392A" w:rsidRDefault="000F0826">
            <w:pPr>
              <w:spacing w:line="200" w:lineRule="auto"/>
              <w:jc w:val="center"/>
            </w:pPr>
            <w:r>
              <w:rPr>
                <w:b/>
                <w:sz w:val="16"/>
              </w:rPr>
              <w:t>June 30, 2019</w:t>
            </w:r>
          </w:p>
        </w:tc>
        <w:tc>
          <w:tcPr>
            <w:tcW w:w="90" w:type="dxa"/>
            <w:tcBorders>
              <w:top w:val="nil"/>
              <w:left w:val="nil"/>
              <w:bottom w:val="nil"/>
              <w:right w:val="nil"/>
            </w:tcBorders>
            <w:shd w:val="clear" w:color="auto" w:fill="auto"/>
            <w:tcMar>
              <w:top w:w="0" w:type="dxa"/>
              <w:left w:w="0" w:type="dxa"/>
              <w:bottom w:w="0" w:type="dxa"/>
              <w:right w:w="0" w:type="dxa"/>
            </w:tcMar>
            <w:vAlign w:val="bottom"/>
          </w:tcPr>
          <w:p w14:paraId="6D958E30" w14:textId="77777777" w:rsidR="00F9392A" w:rsidRDefault="00F9392A"/>
        </w:tc>
        <w:tc>
          <w:tcPr>
            <w:tcW w:w="1455" w:type="dxa"/>
            <w:gridSpan w:val="2"/>
            <w:tcBorders>
              <w:top w:val="nil"/>
              <w:left w:val="nil"/>
              <w:bottom w:val="nil"/>
              <w:right w:val="nil"/>
            </w:tcBorders>
            <w:shd w:val="clear" w:color="auto" w:fill="auto"/>
            <w:tcMar>
              <w:top w:w="75" w:type="dxa"/>
              <w:left w:w="53" w:type="dxa"/>
              <w:bottom w:w="30" w:type="dxa"/>
              <w:right w:w="53" w:type="dxa"/>
            </w:tcMar>
            <w:vAlign w:val="bottom"/>
          </w:tcPr>
          <w:p w14:paraId="1D7CC039" w14:textId="77777777" w:rsidR="00F9392A" w:rsidRDefault="000F0826">
            <w:pPr>
              <w:spacing w:line="200" w:lineRule="auto"/>
              <w:jc w:val="center"/>
            </w:pPr>
            <w:r>
              <w:rPr>
                <w:b/>
                <w:sz w:val="16"/>
              </w:rPr>
              <w:t>March 31, 2019</w:t>
            </w:r>
          </w:p>
        </w:tc>
      </w:tr>
      <w:tr w:rsidR="00F9392A" w14:paraId="22ED6CE5" w14:textId="77777777">
        <w:trPr>
          <w:trHeight w:hRule="exact" w:val="300"/>
          <w:jc w:val="center"/>
        </w:trPr>
        <w:tc>
          <w:tcPr>
            <w:tcW w:w="5400" w:type="dxa"/>
            <w:tcBorders>
              <w:top w:val="nil"/>
              <w:left w:val="nil"/>
              <w:bottom w:val="nil"/>
              <w:right w:val="nil"/>
            </w:tcBorders>
            <w:shd w:val="clear" w:color="auto" w:fill="CCEEFF"/>
            <w:tcMar>
              <w:top w:w="75" w:type="dxa"/>
              <w:left w:w="53" w:type="dxa"/>
              <w:bottom w:w="30" w:type="dxa"/>
              <w:right w:w="53" w:type="dxa"/>
            </w:tcMar>
            <w:vAlign w:val="bottom"/>
          </w:tcPr>
          <w:p w14:paraId="1E526D77" w14:textId="77777777" w:rsidR="00F9392A" w:rsidRDefault="000F0826">
            <w:pPr>
              <w:spacing w:line="200" w:lineRule="auto"/>
            </w:pPr>
            <w:r>
              <w:rPr>
                <w:sz w:val="20"/>
              </w:rPr>
              <w:t xml:space="preserve">Cash and </w:t>
            </w:r>
            <w:r>
              <w:rPr>
                <w:sz w:val="20"/>
              </w:rPr>
              <w:t>cash equivalents</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5B3E3DBA" w14:textId="77777777" w:rsidR="00F9392A" w:rsidRDefault="00F9392A"/>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DD2FE0E" w14:textId="77777777" w:rsidR="00F9392A" w:rsidRDefault="000F0826">
            <w:pPr>
              <w:spacing w:line="200" w:lineRule="auto"/>
            </w:pPr>
            <w:r>
              <w:rPr>
                <w:sz w:val="20"/>
              </w:rPr>
              <w:t>$</w:t>
            </w:r>
          </w:p>
        </w:tc>
        <w:tc>
          <w:tcPr>
            <w:tcW w:w="14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2695819" w14:textId="77777777" w:rsidR="00F9392A" w:rsidRDefault="000F0826">
            <w:pPr>
              <w:spacing w:line="200" w:lineRule="auto"/>
              <w:jc w:val="right"/>
            </w:pPr>
            <w:r>
              <w:rPr>
                <w:sz w:val="20"/>
              </w:rPr>
              <w:t>257</w:t>
            </w: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3E65780C" w14:textId="77777777" w:rsidR="00F9392A" w:rsidRDefault="00F9392A"/>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5BB2A57" w14:textId="77777777" w:rsidR="00F9392A" w:rsidRDefault="000F0826">
            <w:pPr>
              <w:spacing w:line="200" w:lineRule="auto"/>
            </w:pPr>
            <w:r>
              <w:rPr>
                <w:sz w:val="20"/>
              </w:rPr>
              <w:t>$</w:t>
            </w:r>
          </w:p>
        </w:tc>
        <w:tc>
          <w:tcPr>
            <w:tcW w:w="13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8543E79" w14:textId="77777777" w:rsidR="00F9392A" w:rsidRDefault="000F0826">
            <w:pPr>
              <w:spacing w:line="200" w:lineRule="auto"/>
              <w:jc w:val="right"/>
            </w:pPr>
            <w:r>
              <w:rPr>
                <w:sz w:val="20"/>
              </w:rPr>
              <w:t>226</w:t>
            </w:r>
          </w:p>
        </w:tc>
      </w:tr>
      <w:tr w:rsidR="00F9392A" w14:paraId="69D90A12" w14:textId="77777777">
        <w:trPr>
          <w:trHeight w:hRule="exact" w:val="300"/>
          <w:jc w:val="center"/>
        </w:trPr>
        <w:tc>
          <w:tcPr>
            <w:tcW w:w="5400" w:type="dxa"/>
            <w:tcBorders>
              <w:top w:val="nil"/>
              <w:left w:val="nil"/>
              <w:bottom w:val="nil"/>
              <w:right w:val="nil"/>
            </w:tcBorders>
            <w:shd w:val="clear" w:color="auto" w:fill="FFFFFF"/>
            <w:tcMar>
              <w:top w:w="75" w:type="dxa"/>
              <w:left w:w="53" w:type="dxa"/>
              <w:bottom w:w="30" w:type="dxa"/>
              <w:right w:w="53" w:type="dxa"/>
            </w:tcMar>
            <w:vAlign w:val="bottom"/>
          </w:tcPr>
          <w:p w14:paraId="097744DE" w14:textId="77777777" w:rsidR="00F9392A" w:rsidRDefault="000F0826">
            <w:pPr>
              <w:spacing w:line="200" w:lineRule="auto"/>
            </w:pPr>
            <w:r>
              <w:rPr>
                <w:sz w:val="20"/>
              </w:rPr>
              <w:t>Equity method investments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3F99AA8D" w14:textId="77777777" w:rsidR="00F9392A" w:rsidRDefault="00F9392A"/>
        </w:tc>
        <w:tc>
          <w:tcPr>
            <w:tcW w:w="1560" w:type="dxa"/>
            <w:gridSpan w:val="2"/>
            <w:tcBorders>
              <w:top w:val="nil"/>
              <w:left w:val="nil"/>
              <w:bottom w:val="nil"/>
              <w:right w:val="nil"/>
            </w:tcBorders>
            <w:shd w:val="clear" w:color="auto" w:fill="FFFFFF"/>
            <w:tcMar>
              <w:top w:w="0" w:type="dxa"/>
              <w:left w:w="0" w:type="dxa"/>
              <w:bottom w:w="0" w:type="dxa"/>
              <w:right w:w="0" w:type="dxa"/>
            </w:tcMar>
            <w:vAlign w:val="bottom"/>
          </w:tcPr>
          <w:p w14:paraId="0530BC04" w14:textId="77777777" w:rsidR="00F9392A" w:rsidRDefault="000F0826">
            <w:pPr>
              <w:spacing w:line="200" w:lineRule="auto"/>
              <w:jc w:val="right"/>
            </w:pPr>
            <w:r>
              <w:rPr>
                <w:sz w:val="20"/>
              </w:rPr>
              <w:t>930</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9A9A24C" w14:textId="77777777" w:rsidR="00F9392A" w:rsidRDefault="00F9392A"/>
        </w:tc>
        <w:tc>
          <w:tcPr>
            <w:tcW w:w="1455" w:type="dxa"/>
            <w:gridSpan w:val="2"/>
            <w:tcBorders>
              <w:top w:val="nil"/>
              <w:left w:val="nil"/>
              <w:bottom w:val="nil"/>
              <w:right w:val="nil"/>
            </w:tcBorders>
            <w:shd w:val="clear" w:color="auto" w:fill="FFFFFF"/>
            <w:tcMar>
              <w:top w:w="0" w:type="dxa"/>
              <w:left w:w="0" w:type="dxa"/>
              <w:bottom w:w="0" w:type="dxa"/>
              <w:right w:w="0" w:type="dxa"/>
            </w:tcMar>
            <w:vAlign w:val="bottom"/>
          </w:tcPr>
          <w:p w14:paraId="3BC403F8" w14:textId="77777777" w:rsidR="00F9392A" w:rsidRDefault="000F0826">
            <w:pPr>
              <w:spacing w:line="200" w:lineRule="auto"/>
              <w:jc w:val="right"/>
            </w:pPr>
            <w:r>
              <w:rPr>
                <w:sz w:val="20"/>
              </w:rPr>
              <w:t>814</w:t>
            </w:r>
          </w:p>
        </w:tc>
      </w:tr>
      <w:tr w:rsidR="00F9392A" w14:paraId="2CD6F6D6" w14:textId="77777777">
        <w:trPr>
          <w:trHeight w:hRule="exact" w:val="300"/>
          <w:jc w:val="center"/>
        </w:trPr>
        <w:tc>
          <w:tcPr>
            <w:tcW w:w="5400" w:type="dxa"/>
            <w:tcBorders>
              <w:top w:val="nil"/>
              <w:left w:val="nil"/>
              <w:bottom w:val="nil"/>
              <w:right w:val="nil"/>
            </w:tcBorders>
            <w:shd w:val="clear" w:color="auto" w:fill="CCEEFF"/>
            <w:tcMar>
              <w:top w:w="75" w:type="dxa"/>
              <w:left w:w="53" w:type="dxa"/>
              <w:bottom w:w="30" w:type="dxa"/>
              <w:right w:w="53" w:type="dxa"/>
            </w:tcMar>
            <w:vAlign w:val="bottom"/>
          </w:tcPr>
          <w:p w14:paraId="46645198" w14:textId="77777777" w:rsidR="00F9392A" w:rsidRDefault="000F0826">
            <w:pPr>
              <w:spacing w:line="200" w:lineRule="auto"/>
            </w:pPr>
            <w:r>
              <w:rPr>
                <w:sz w:val="20"/>
              </w:rPr>
              <w:t>Property, plant &amp; equipment, net</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119B1421" w14:textId="77777777" w:rsidR="00F9392A" w:rsidRDefault="00F9392A"/>
        </w:tc>
        <w:tc>
          <w:tcPr>
            <w:tcW w:w="1560" w:type="dxa"/>
            <w:gridSpan w:val="2"/>
            <w:tcBorders>
              <w:top w:val="nil"/>
              <w:left w:val="nil"/>
              <w:bottom w:val="nil"/>
              <w:right w:val="nil"/>
            </w:tcBorders>
            <w:shd w:val="clear" w:color="auto" w:fill="CCEEFF"/>
            <w:tcMar>
              <w:top w:w="0" w:type="dxa"/>
              <w:left w:w="0" w:type="dxa"/>
              <w:bottom w:w="0" w:type="dxa"/>
              <w:right w:w="0" w:type="dxa"/>
            </w:tcMar>
            <w:vAlign w:val="bottom"/>
          </w:tcPr>
          <w:p w14:paraId="055FFCA6" w14:textId="77777777" w:rsidR="00F9392A" w:rsidRDefault="000F0826">
            <w:pPr>
              <w:spacing w:line="200" w:lineRule="auto"/>
              <w:jc w:val="right"/>
            </w:pPr>
            <w:r>
              <w:rPr>
                <w:sz w:val="20"/>
              </w:rPr>
              <w:t>738</w:t>
            </w: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4E6C2ACB" w14:textId="77777777" w:rsidR="00F9392A" w:rsidRDefault="00F9392A"/>
        </w:tc>
        <w:tc>
          <w:tcPr>
            <w:tcW w:w="1455" w:type="dxa"/>
            <w:gridSpan w:val="2"/>
            <w:tcBorders>
              <w:top w:val="nil"/>
              <w:left w:val="nil"/>
              <w:bottom w:val="nil"/>
              <w:right w:val="nil"/>
            </w:tcBorders>
            <w:shd w:val="clear" w:color="auto" w:fill="CCEEFF"/>
            <w:tcMar>
              <w:top w:w="0" w:type="dxa"/>
              <w:left w:w="0" w:type="dxa"/>
              <w:bottom w:w="0" w:type="dxa"/>
              <w:right w:w="0" w:type="dxa"/>
            </w:tcMar>
            <w:vAlign w:val="bottom"/>
          </w:tcPr>
          <w:p w14:paraId="26B29A52" w14:textId="77777777" w:rsidR="00F9392A" w:rsidRDefault="000F0826">
            <w:pPr>
              <w:spacing w:line="200" w:lineRule="auto"/>
              <w:jc w:val="right"/>
            </w:pPr>
            <w:r>
              <w:rPr>
                <w:sz w:val="20"/>
              </w:rPr>
              <w:t>740</w:t>
            </w:r>
          </w:p>
        </w:tc>
      </w:tr>
      <w:tr w:rsidR="00F9392A" w14:paraId="3CBB757D" w14:textId="77777777">
        <w:trPr>
          <w:trHeight w:hRule="exact" w:val="300"/>
          <w:jc w:val="center"/>
        </w:trPr>
        <w:tc>
          <w:tcPr>
            <w:tcW w:w="5400" w:type="dxa"/>
            <w:tcBorders>
              <w:top w:val="nil"/>
              <w:left w:val="nil"/>
              <w:bottom w:val="nil"/>
              <w:right w:val="nil"/>
            </w:tcBorders>
            <w:shd w:val="clear" w:color="auto" w:fill="FFFFFF"/>
            <w:tcMar>
              <w:top w:w="75" w:type="dxa"/>
              <w:left w:w="53" w:type="dxa"/>
              <w:bottom w:w="30" w:type="dxa"/>
              <w:right w:w="53" w:type="dxa"/>
            </w:tcMar>
            <w:vAlign w:val="bottom"/>
          </w:tcPr>
          <w:p w14:paraId="4DC82850" w14:textId="77777777" w:rsidR="00F9392A" w:rsidRDefault="000F0826">
            <w:pPr>
              <w:spacing w:line="200" w:lineRule="auto"/>
            </w:pPr>
            <w:r>
              <w:rPr>
                <w:sz w:val="20"/>
              </w:rPr>
              <w:t>Total assets</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12BF6439" w14:textId="77777777" w:rsidR="00F9392A" w:rsidRDefault="00F9392A"/>
        </w:tc>
        <w:tc>
          <w:tcPr>
            <w:tcW w:w="1560" w:type="dxa"/>
            <w:gridSpan w:val="2"/>
            <w:tcBorders>
              <w:top w:val="nil"/>
              <w:left w:val="nil"/>
              <w:bottom w:val="nil"/>
              <w:right w:val="nil"/>
            </w:tcBorders>
            <w:shd w:val="clear" w:color="auto" w:fill="FFFFFF"/>
            <w:tcMar>
              <w:top w:w="0" w:type="dxa"/>
              <w:left w:w="0" w:type="dxa"/>
              <w:bottom w:w="0" w:type="dxa"/>
              <w:right w:w="0" w:type="dxa"/>
            </w:tcMar>
            <w:vAlign w:val="bottom"/>
          </w:tcPr>
          <w:p w14:paraId="5374AC68" w14:textId="77777777" w:rsidR="00F9392A" w:rsidRDefault="000F0826">
            <w:pPr>
              <w:spacing w:line="200" w:lineRule="auto"/>
              <w:jc w:val="right"/>
            </w:pPr>
            <w:r>
              <w:rPr>
                <w:sz w:val="20"/>
              </w:rPr>
              <w:t>2,004</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E06F97C" w14:textId="77777777" w:rsidR="00F9392A" w:rsidRDefault="00F9392A"/>
        </w:tc>
        <w:tc>
          <w:tcPr>
            <w:tcW w:w="1455" w:type="dxa"/>
            <w:gridSpan w:val="2"/>
            <w:tcBorders>
              <w:top w:val="nil"/>
              <w:left w:val="nil"/>
              <w:bottom w:val="nil"/>
              <w:right w:val="nil"/>
            </w:tcBorders>
            <w:shd w:val="clear" w:color="auto" w:fill="FFFFFF"/>
            <w:tcMar>
              <w:top w:w="0" w:type="dxa"/>
              <w:left w:w="0" w:type="dxa"/>
              <w:bottom w:w="0" w:type="dxa"/>
              <w:right w:w="0" w:type="dxa"/>
            </w:tcMar>
            <w:vAlign w:val="bottom"/>
          </w:tcPr>
          <w:p w14:paraId="2C9DCC83" w14:textId="77777777" w:rsidR="00F9392A" w:rsidRDefault="000F0826">
            <w:pPr>
              <w:spacing w:line="200" w:lineRule="auto"/>
              <w:jc w:val="right"/>
            </w:pPr>
            <w:r>
              <w:rPr>
                <w:sz w:val="20"/>
              </w:rPr>
              <w:t>1,915</w:t>
            </w:r>
          </w:p>
        </w:tc>
      </w:tr>
      <w:tr w:rsidR="00F9392A" w14:paraId="110EA452" w14:textId="77777777">
        <w:trPr>
          <w:trHeight w:hRule="exact" w:val="300"/>
          <w:jc w:val="center"/>
        </w:trPr>
        <w:tc>
          <w:tcPr>
            <w:tcW w:w="5400" w:type="dxa"/>
            <w:tcBorders>
              <w:top w:val="nil"/>
              <w:left w:val="nil"/>
              <w:bottom w:val="nil"/>
              <w:right w:val="nil"/>
            </w:tcBorders>
            <w:shd w:val="clear" w:color="auto" w:fill="CCEEFF"/>
            <w:tcMar>
              <w:top w:w="75" w:type="dxa"/>
              <w:left w:w="53" w:type="dxa"/>
              <w:bottom w:w="30" w:type="dxa"/>
              <w:right w:w="53" w:type="dxa"/>
            </w:tcMar>
            <w:vAlign w:val="bottom"/>
          </w:tcPr>
          <w:p w14:paraId="7E970337" w14:textId="77777777" w:rsidR="00F9392A" w:rsidRDefault="000F0826">
            <w:pPr>
              <w:spacing w:line="200" w:lineRule="auto"/>
            </w:pPr>
            <w:r>
              <w:rPr>
                <w:sz w:val="20"/>
              </w:rPr>
              <w:t>Related party debt</w:t>
            </w:r>
          </w:p>
        </w:tc>
        <w:tc>
          <w:tcPr>
            <w:tcW w:w="240" w:type="dxa"/>
            <w:tcBorders>
              <w:top w:val="nil"/>
              <w:left w:val="nil"/>
              <w:bottom w:val="nil"/>
              <w:right w:val="nil"/>
            </w:tcBorders>
            <w:shd w:val="clear" w:color="auto" w:fill="CCEEFF"/>
            <w:tcMar>
              <w:top w:w="0" w:type="dxa"/>
              <w:left w:w="0" w:type="dxa"/>
              <w:bottom w:w="0" w:type="dxa"/>
              <w:right w:w="0" w:type="dxa"/>
            </w:tcMar>
            <w:vAlign w:val="bottom"/>
          </w:tcPr>
          <w:p w14:paraId="026347C6" w14:textId="77777777" w:rsidR="00F9392A" w:rsidRDefault="00F9392A"/>
        </w:tc>
        <w:tc>
          <w:tcPr>
            <w:tcW w:w="1560" w:type="dxa"/>
            <w:gridSpan w:val="2"/>
            <w:tcBorders>
              <w:top w:val="nil"/>
              <w:left w:val="nil"/>
              <w:bottom w:val="nil"/>
              <w:right w:val="nil"/>
            </w:tcBorders>
            <w:shd w:val="clear" w:color="auto" w:fill="CCEEFF"/>
            <w:tcMar>
              <w:top w:w="0" w:type="dxa"/>
              <w:left w:w="0" w:type="dxa"/>
              <w:bottom w:w="0" w:type="dxa"/>
              <w:right w:w="0" w:type="dxa"/>
            </w:tcMar>
            <w:vAlign w:val="bottom"/>
          </w:tcPr>
          <w:p w14:paraId="35C534E5" w14:textId="77777777" w:rsidR="00F9392A" w:rsidRDefault="000F0826">
            <w:pPr>
              <w:spacing w:line="200" w:lineRule="auto"/>
              <w:jc w:val="right"/>
            </w:pPr>
            <w:r>
              <w:rPr>
                <w:sz w:val="20"/>
              </w:rPr>
              <w:t>2,691</w:t>
            </w: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698B1759" w14:textId="77777777" w:rsidR="00F9392A" w:rsidRDefault="00F9392A"/>
        </w:tc>
        <w:tc>
          <w:tcPr>
            <w:tcW w:w="1455" w:type="dxa"/>
            <w:gridSpan w:val="2"/>
            <w:tcBorders>
              <w:top w:val="nil"/>
              <w:left w:val="nil"/>
              <w:bottom w:val="nil"/>
              <w:right w:val="nil"/>
            </w:tcBorders>
            <w:shd w:val="clear" w:color="auto" w:fill="CCEEFF"/>
            <w:tcMar>
              <w:top w:w="0" w:type="dxa"/>
              <w:left w:w="0" w:type="dxa"/>
              <w:bottom w:w="0" w:type="dxa"/>
              <w:right w:w="0" w:type="dxa"/>
            </w:tcMar>
            <w:vAlign w:val="bottom"/>
          </w:tcPr>
          <w:p w14:paraId="180BA03B" w14:textId="77777777" w:rsidR="00F9392A" w:rsidRDefault="000F0826">
            <w:pPr>
              <w:spacing w:line="200" w:lineRule="auto"/>
              <w:jc w:val="right"/>
            </w:pPr>
            <w:r>
              <w:rPr>
                <w:sz w:val="20"/>
              </w:rPr>
              <w:t>2,091</w:t>
            </w:r>
          </w:p>
        </w:tc>
      </w:tr>
      <w:tr w:rsidR="00F9392A" w14:paraId="6C564B9C" w14:textId="77777777">
        <w:trPr>
          <w:trHeight w:hRule="exact" w:val="300"/>
          <w:jc w:val="center"/>
        </w:trPr>
        <w:tc>
          <w:tcPr>
            <w:tcW w:w="5400" w:type="dxa"/>
            <w:tcBorders>
              <w:top w:val="nil"/>
              <w:left w:val="nil"/>
              <w:bottom w:val="nil"/>
              <w:right w:val="nil"/>
            </w:tcBorders>
            <w:shd w:val="clear" w:color="auto" w:fill="FFFFFF"/>
            <w:tcMar>
              <w:top w:w="75" w:type="dxa"/>
              <w:left w:w="53" w:type="dxa"/>
              <w:bottom w:w="30" w:type="dxa"/>
              <w:right w:w="53" w:type="dxa"/>
            </w:tcMar>
            <w:vAlign w:val="bottom"/>
          </w:tcPr>
          <w:p w14:paraId="79C289B2" w14:textId="77777777" w:rsidR="00F9392A" w:rsidRDefault="000F0826">
            <w:pPr>
              <w:spacing w:line="200" w:lineRule="auto"/>
            </w:pPr>
            <w:r>
              <w:rPr>
                <w:sz w:val="20"/>
              </w:rPr>
              <w:t>Total deficit</w:t>
            </w:r>
          </w:p>
        </w:tc>
        <w:tc>
          <w:tcPr>
            <w:tcW w:w="240" w:type="dxa"/>
            <w:tcBorders>
              <w:top w:val="nil"/>
              <w:left w:val="nil"/>
              <w:bottom w:val="nil"/>
              <w:right w:val="nil"/>
            </w:tcBorders>
            <w:shd w:val="clear" w:color="auto" w:fill="FFFFFF"/>
            <w:tcMar>
              <w:top w:w="0" w:type="dxa"/>
              <w:left w:w="0" w:type="dxa"/>
              <w:bottom w:w="0" w:type="dxa"/>
              <w:right w:w="0" w:type="dxa"/>
            </w:tcMar>
            <w:vAlign w:val="bottom"/>
          </w:tcPr>
          <w:p w14:paraId="37295C70" w14:textId="77777777" w:rsidR="00F9392A" w:rsidRDefault="00F9392A"/>
        </w:tc>
        <w:tc>
          <w:tcPr>
            <w:tcW w:w="1560" w:type="dxa"/>
            <w:gridSpan w:val="2"/>
            <w:tcBorders>
              <w:top w:val="nil"/>
              <w:left w:val="nil"/>
              <w:bottom w:val="nil"/>
              <w:right w:val="nil"/>
            </w:tcBorders>
            <w:shd w:val="clear" w:color="auto" w:fill="FFFFFF"/>
            <w:tcMar>
              <w:top w:w="0" w:type="dxa"/>
              <w:left w:w="0" w:type="dxa"/>
              <w:bottom w:w="0" w:type="dxa"/>
              <w:right w:w="0" w:type="dxa"/>
            </w:tcMar>
            <w:vAlign w:val="bottom"/>
          </w:tcPr>
          <w:p w14:paraId="48CC0862" w14:textId="77777777" w:rsidR="00F9392A" w:rsidRDefault="000F0826">
            <w:pPr>
              <w:spacing w:line="200" w:lineRule="auto"/>
              <w:jc w:val="right"/>
            </w:pPr>
            <w:r>
              <w:rPr>
                <w:sz w:val="20"/>
              </w:rPr>
              <w:t>(767)</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66A6D52" w14:textId="77777777" w:rsidR="00F9392A" w:rsidRDefault="00F9392A"/>
        </w:tc>
        <w:tc>
          <w:tcPr>
            <w:tcW w:w="1455" w:type="dxa"/>
            <w:gridSpan w:val="2"/>
            <w:tcBorders>
              <w:top w:val="nil"/>
              <w:left w:val="nil"/>
              <w:bottom w:val="nil"/>
              <w:right w:val="nil"/>
            </w:tcBorders>
            <w:shd w:val="clear" w:color="auto" w:fill="FFFFFF"/>
            <w:tcMar>
              <w:top w:w="0" w:type="dxa"/>
              <w:left w:w="0" w:type="dxa"/>
              <w:bottom w:w="0" w:type="dxa"/>
              <w:right w:w="0" w:type="dxa"/>
            </w:tcMar>
            <w:vAlign w:val="bottom"/>
          </w:tcPr>
          <w:p w14:paraId="4BF0B4D6" w14:textId="77777777" w:rsidR="00F9392A" w:rsidRDefault="000F0826">
            <w:pPr>
              <w:spacing w:line="200" w:lineRule="auto"/>
              <w:jc w:val="right"/>
            </w:pPr>
            <w:r>
              <w:rPr>
                <w:sz w:val="20"/>
              </w:rPr>
              <w:t>(254)</w:t>
            </w:r>
          </w:p>
        </w:tc>
      </w:tr>
    </w:tbl>
    <w:p w14:paraId="459F7FA8" w14:textId="77777777" w:rsidR="00F9392A" w:rsidRDefault="00F9392A">
      <w:pPr>
        <w:spacing w:before="120"/>
        <w:ind w:left="180" w:hanging="180"/>
      </w:pPr>
    </w:p>
    <w:p w14:paraId="12F11DBC" w14:textId="77777777" w:rsidR="00F9392A" w:rsidRDefault="00F9392A"/>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7"/>
        <w:gridCol w:w="112"/>
        <w:gridCol w:w="100"/>
        <w:gridCol w:w="1354"/>
        <w:gridCol w:w="112"/>
        <w:gridCol w:w="100"/>
        <w:gridCol w:w="1385"/>
      </w:tblGrid>
      <w:tr w:rsidR="00F9392A" w14:paraId="10EA0DAE" w14:textId="77777777">
        <w:trPr>
          <w:trHeight w:hRule="exact" w:val="570"/>
          <w:jc w:val="center"/>
        </w:trPr>
        <w:tc>
          <w:tcPr>
            <w:tcW w:w="10110" w:type="dxa"/>
            <w:gridSpan w:val="7"/>
            <w:tcBorders>
              <w:top w:val="nil"/>
              <w:left w:val="nil"/>
              <w:bottom w:val="nil"/>
              <w:right w:val="nil"/>
            </w:tcBorders>
            <w:shd w:val="clear" w:color="auto" w:fill="auto"/>
            <w:tcMar>
              <w:top w:w="75" w:type="dxa"/>
              <w:left w:w="53" w:type="dxa"/>
              <w:bottom w:w="30" w:type="dxa"/>
              <w:right w:w="53" w:type="dxa"/>
            </w:tcMar>
            <w:vAlign w:val="bottom"/>
          </w:tcPr>
          <w:p w14:paraId="470E76A2" w14:textId="77777777" w:rsidR="00F9392A" w:rsidRDefault="000F0826">
            <w:pPr>
              <w:widowControl w:val="0"/>
              <w:spacing w:line="200" w:lineRule="auto"/>
            </w:pPr>
            <w:r>
              <w:rPr>
                <w:b/>
                <w:sz w:val="22"/>
              </w:rPr>
              <w:t xml:space="preserve">Pipeline and Terminal Volumes and Revenue per </w:t>
            </w:r>
            <w:r>
              <w:rPr>
                <w:b/>
                <w:sz w:val="22"/>
              </w:rPr>
              <w:t>Barrel</w:t>
            </w:r>
          </w:p>
        </w:tc>
      </w:tr>
      <w:tr w:rsidR="00F9392A" w14:paraId="092195E0" w14:textId="77777777">
        <w:trPr>
          <w:trHeight w:hRule="exact" w:val="300"/>
          <w:jc w:val="center"/>
        </w:trPr>
        <w:tc>
          <w:tcPr>
            <w:tcW w:w="6990" w:type="dxa"/>
            <w:tcBorders>
              <w:top w:val="nil"/>
              <w:left w:val="nil"/>
              <w:bottom w:val="nil"/>
              <w:right w:val="nil"/>
            </w:tcBorders>
            <w:shd w:val="clear" w:color="auto" w:fill="auto"/>
            <w:tcMar>
              <w:top w:w="0" w:type="dxa"/>
              <w:left w:w="0" w:type="dxa"/>
              <w:bottom w:w="0" w:type="dxa"/>
              <w:right w:w="0" w:type="dxa"/>
            </w:tcMar>
            <w:vAlign w:val="bottom"/>
          </w:tcPr>
          <w:p w14:paraId="7E1B841B" w14:textId="77777777" w:rsidR="00F9392A" w:rsidRDefault="00F9392A"/>
        </w:tc>
        <w:tc>
          <w:tcPr>
            <w:tcW w:w="75" w:type="dxa"/>
            <w:tcBorders>
              <w:top w:val="nil"/>
              <w:left w:val="nil"/>
              <w:bottom w:val="nil"/>
              <w:right w:val="nil"/>
            </w:tcBorders>
            <w:shd w:val="clear" w:color="auto" w:fill="auto"/>
            <w:tcMar>
              <w:top w:w="0" w:type="dxa"/>
              <w:left w:w="0" w:type="dxa"/>
              <w:bottom w:w="0" w:type="dxa"/>
              <w:right w:w="0" w:type="dxa"/>
            </w:tcMar>
            <w:vAlign w:val="bottom"/>
          </w:tcPr>
          <w:p w14:paraId="00A7ECFC" w14:textId="77777777" w:rsidR="00F9392A" w:rsidRDefault="00F9392A"/>
        </w:tc>
        <w:tc>
          <w:tcPr>
            <w:tcW w:w="3045" w:type="dxa"/>
            <w:gridSpan w:val="5"/>
            <w:tcBorders>
              <w:top w:val="nil"/>
              <w:left w:val="nil"/>
              <w:bottom w:val="nil"/>
              <w:right w:val="nil"/>
            </w:tcBorders>
            <w:shd w:val="clear" w:color="auto" w:fill="auto"/>
            <w:tcMar>
              <w:top w:w="75" w:type="dxa"/>
              <w:left w:w="53" w:type="dxa"/>
              <w:bottom w:w="30" w:type="dxa"/>
              <w:right w:w="53" w:type="dxa"/>
            </w:tcMar>
            <w:vAlign w:val="bottom"/>
          </w:tcPr>
          <w:p w14:paraId="453B25AF" w14:textId="77777777" w:rsidR="00F9392A" w:rsidRDefault="000F0826">
            <w:pPr>
              <w:spacing w:line="200" w:lineRule="auto"/>
              <w:jc w:val="center"/>
            </w:pPr>
            <w:r>
              <w:rPr>
                <w:b/>
                <w:sz w:val="16"/>
              </w:rPr>
              <w:t>For the Three Months Ended</w:t>
            </w:r>
          </w:p>
        </w:tc>
      </w:tr>
      <w:tr w:rsidR="00F9392A" w14:paraId="364ECB0E" w14:textId="77777777">
        <w:trPr>
          <w:trHeight w:hRule="exact" w:val="255"/>
          <w:jc w:val="center"/>
        </w:trPr>
        <w:tc>
          <w:tcPr>
            <w:tcW w:w="6990" w:type="dxa"/>
            <w:tcBorders>
              <w:top w:val="nil"/>
              <w:left w:val="nil"/>
              <w:bottom w:val="nil"/>
              <w:right w:val="nil"/>
            </w:tcBorders>
            <w:shd w:val="clear" w:color="auto" w:fill="auto"/>
            <w:tcMar>
              <w:top w:w="0" w:type="dxa"/>
              <w:left w:w="0" w:type="dxa"/>
              <w:bottom w:w="0" w:type="dxa"/>
              <w:right w:w="0" w:type="dxa"/>
            </w:tcMar>
            <w:vAlign w:val="bottom"/>
          </w:tcPr>
          <w:p w14:paraId="687F7582" w14:textId="77777777" w:rsidR="00F9392A" w:rsidRDefault="00F9392A"/>
        </w:tc>
        <w:tc>
          <w:tcPr>
            <w:tcW w:w="75" w:type="dxa"/>
            <w:tcBorders>
              <w:top w:val="nil"/>
              <w:left w:val="nil"/>
              <w:bottom w:val="nil"/>
              <w:right w:val="nil"/>
            </w:tcBorders>
            <w:shd w:val="clear" w:color="auto" w:fill="auto"/>
            <w:tcMar>
              <w:top w:w="0" w:type="dxa"/>
              <w:left w:w="0" w:type="dxa"/>
              <w:bottom w:w="0" w:type="dxa"/>
              <w:right w:w="0" w:type="dxa"/>
            </w:tcMar>
            <w:vAlign w:val="bottom"/>
          </w:tcPr>
          <w:p w14:paraId="7CCBF2D6" w14:textId="77777777" w:rsidR="00F9392A" w:rsidRDefault="00F9392A"/>
        </w:tc>
        <w:tc>
          <w:tcPr>
            <w:tcW w:w="1470"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14:paraId="372FEA30" w14:textId="77777777" w:rsidR="00F9392A" w:rsidRDefault="000F0826">
            <w:pPr>
              <w:spacing w:line="200" w:lineRule="auto"/>
              <w:jc w:val="center"/>
            </w:pPr>
            <w:r>
              <w:rPr>
                <w:b/>
                <w:sz w:val="16"/>
              </w:rPr>
              <w:t>June 30, 2019</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14:paraId="44380363" w14:textId="77777777" w:rsidR="00F9392A" w:rsidRDefault="00F9392A"/>
        </w:tc>
        <w:tc>
          <w:tcPr>
            <w:tcW w:w="1500" w:type="dxa"/>
            <w:gridSpan w:val="2"/>
            <w:tcBorders>
              <w:top w:val="single" w:sz="8" w:space="0" w:color="000000"/>
              <w:left w:val="nil"/>
              <w:bottom w:val="nil"/>
              <w:right w:val="nil"/>
            </w:tcBorders>
            <w:shd w:val="clear" w:color="auto" w:fill="auto"/>
            <w:tcMar>
              <w:top w:w="55" w:type="dxa"/>
              <w:left w:w="53" w:type="dxa"/>
              <w:bottom w:w="30" w:type="dxa"/>
              <w:right w:w="53" w:type="dxa"/>
            </w:tcMar>
            <w:vAlign w:val="bottom"/>
          </w:tcPr>
          <w:p w14:paraId="33E6BF89" w14:textId="77777777" w:rsidR="00F9392A" w:rsidRDefault="000F0826">
            <w:pPr>
              <w:spacing w:line="200" w:lineRule="auto"/>
              <w:jc w:val="center"/>
            </w:pPr>
            <w:r>
              <w:rPr>
                <w:b/>
                <w:sz w:val="16"/>
              </w:rPr>
              <w:t>March 31, 2019</w:t>
            </w:r>
          </w:p>
        </w:tc>
      </w:tr>
      <w:tr w:rsidR="00F9392A" w14:paraId="474788C3"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07D09B3A" w14:textId="77777777" w:rsidR="00F9392A" w:rsidRDefault="000F0826">
            <w:pPr>
              <w:widowControl w:val="0"/>
              <w:spacing w:line="200" w:lineRule="auto"/>
            </w:pPr>
            <w:r>
              <w:rPr>
                <w:b/>
                <w:sz w:val="20"/>
              </w:rPr>
              <w:t>Pipeline throughput (thousands of barrels per day)</w:t>
            </w:r>
            <w:r>
              <w:rPr>
                <w:b/>
                <w:sz w:val="20"/>
                <w:vertAlign w:val="superscript"/>
              </w:rPr>
              <w:t xml:space="preserve"> (1)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8DFA9F4" w14:textId="77777777" w:rsidR="00F9392A" w:rsidRDefault="00F9392A"/>
        </w:tc>
        <w:tc>
          <w:tcPr>
            <w:tcW w:w="147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14:paraId="6787E415" w14:textId="77777777" w:rsidR="00F9392A" w:rsidRDefault="00F9392A"/>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345EFCA" w14:textId="77777777" w:rsidR="00F9392A" w:rsidRDefault="00F9392A"/>
        </w:tc>
        <w:tc>
          <w:tcPr>
            <w:tcW w:w="150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14:paraId="0D0D0362" w14:textId="77777777" w:rsidR="00F9392A" w:rsidRDefault="00F9392A"/>
        </w:tc>
      </w:tr>
      <w:tr w:rsidR="00F9392A" w14:paraId="4D455279"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1E568998" w14:textId="77777777" w:rsidR="00F9392A" w:rsidRDefault="000F0826">
            <w:pPr>
              <w:spacing w:line="200" w:lineRule="auto"/>
            </w:pPr>
            <w:r>
              <w:rPr>
                <w:sz w:val="20"/>
              </w:rPr>
              <w:t>Zydeco – Mainlines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8E93D25" w14:textId="77777777" w:rsidR="00F9392A" w:rsidRDefault="00F9392A"/>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26DBA5BC" w14:textId="77777777" w:rsidR="00F9392A" w:rsidRDefault="000F0826">
            <w:pPr>
              <w:spacing w:line="200" w:lineRule="auto"/>
              <w:jc w:val="right"/>
            </w:pPr>
            <w:r>
              <w:rPr>
                <w:sz w:val="20"/>
              </w:rPr>
              <w:t>635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371E959" w14:textId="77777777" w:rsidR="00F9392A" w:rsidRDefault="00F9392A"/>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5411E32F" w14:textId="77777777" w:rsidR="00F9392A" w:rsidRDefault="000F0826">
            <w:pPr>
              <w:spacing w:line="200" w:lineRule="auto"/>
              <w:jc w:val="right"/>
            </w:pPr>
            <w:r>
              <w:rPr>
                <w:sz w:val="20"/>
              </w:rPr>
              <w:t>628</w:t>
            </w:r>
          </w:p>
        </w:tc>
      </w:tr>
      <w:tr w:rsidR="00F9392A" w14:paraId="39EEDED7"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7779C1F9" w14:textId="77777777" w:rsidR="00F9392A" w:rsidRDefault="000F0826">
            <w:pPr>
              <w:spacing w:line="200" w:lineRule="auto"/>
            </w:pPr>
            <w:r>
              <w:rPr>
                <w:sz w:val="20"/>
              </w:rPr>
              <w:t>Zydeco – Other segments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5135B61" w14:textId="77777777" w:rsidR="00F9392A" w:rsidRDefault="00F9392A"/>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22A55DB3" w14:textId="77777777" w:rsidR="00F9392A" w:rsidRDefault="000F0826">
            <w:pPr>
              <w:spacing w:line="200" w:lineRule="auto"/>
              <w:jc w:val="right"/>
            </w:pPr>
            <w:r>
              <w:rPr>
                <w:sz w:val="20"/>
              </w:rPr>
              <w:t>271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085E1D" w14:textId="77777777" w:rsidR="00F9392A" w:rsidRDefault="00F9392A"/>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050F6052" w14:textId="77777777" w:rsidR="00F9392A" w:rsidRDefault="000F0826">
            <w:pPr>
              <w:spacing w:line="200" w:lineRule="auto"/>
              <w:jc w:val="right"/>
            </w:pPr>
            <w:r>
              <w:rPr>
                <w:sz w:val="20"/>
              </w:rPr>
              <w:t>256</w:t>
            </w:r>
          </w:p>
        </w:tc>
      </w:tr>
      <w:tr w:rsidR="00F9392A" w14:paraId="24F5A722" w14:textId="77777777">
        <w:trPr>
          <w:trHeight w:hRule="exact" w:val="300"/>
          <w:jc w:val="center"/>
        </w:trPr>
        <w:tc>
          <w:tcPr>
            <w:tcW w:w="6990" w:type="dxa"/>
            <w:tcBorders>
              <w:top w:val="nil"/>
              <w:left w:val="nil"/>
              <w:bottom w:val="nil"/>
              <w:right w:val="nil"/>
            </w:tcBorders>
            <w:shd w:val="clear" w:color="auto" w:fill="FFFFFF"/>
            <w:tcMar>
              <w:top w:w="75" w:type="dxa"/>
              <w:left w:w="173" w:type="dxa"/>
              <w:bottom w:w="30" w:type="dxa"/>
              <w:right w:w="53" w:type="dxa"/>
            </w:tcMar>
            <w:vAlign w:val="bottom"/>
          </w:tcPr>
          <w:p w14:paraId="1BE7A8A9" w14:textId="77777777" w:rsidR="00F9392A" w:rsidRDefault="000F0826">
            <w:pPr>
              <w:spacing w:line="200" w:lineRule="auto"/>
            </w:pPr>
            <w:r>
              <w:rPr>
                <w:sz w:val="20"/>
              </w:rPr>
              <w:t>Zydeco total system</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13E2AF8" w14:textId="77777777" w:rsidR="00F9392A" w:rsidRDefault="00F9392A"/>
        </w:tc>
        <w:tc>
          <w:tcPr>
            <w:tcW w:w="147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6903422F" w14:textId="77777777" w:rsidR="00F9392A" w:rsidRDefault="000F0826">
            <w:pPr>
              <w:spacing w:line="200" w:lineRule="auto"/>
              <w:jc w:val="right"/>
            </w:pPr>
            <w:r>
              <w:rPr>
                <w:sz w:val="20"/>
              </w:rPr>
              <w:t>906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D0EF9F6" w14:textId="77777777" w:rsidR="00F9392A" w:rsidRDefault="00F9392A"/>
        </w:tc>
        <w:tc>
          <w:tcPr>
            <w:tcW w:w="1500" w:type="dxa"/>
            <w:gridSpan w:val="2"/>
            <w:tcBorders>
              <w:top w:val="single" w:sz="8" w:space="0" w:color="000000"/>
              <w:left w:val="nil"/>
              <w:bottom w:val="nil"/>
              <w:right w:val="nil"/>
            </w:tcBorders>
            <w:shd w:val="clear" w:color="auto" w:fill="FFFFFF"/>
            <w:tcMar>
              <w:top w:w="0" w:type="dxa"/>
              <w:left w:w="0" w:type="dxa"/>
              <w:bottom w:w="0" w:type="dxa"/>
              <w:right w:w="0" w:type="dxa"/>
            </w:tcMar>
            <w:vAlign w:val="bottom"/>
          </w:tcPr>
          <w:p w14:paraId="029839FF" w14:textId="77777777" w:rsidR="00F9392A" w:rsidRDefault="000F0826">
            <w:pPr>
              <w:spacing w:line="200" w:lineRule="auto"/>
              <w:jc w:val="right"/>
            </w:pPr>
            <w:r>
              <w:rPr>
                <w:sz w:val="20"/>
              </w:rPr>
              <w:t>884</w:t>
            </w:r>
          </w:p>
        </w:tc>
      </w:tr>
      <w:tr w:rsidR="00F9392A" w14:paraId="07030918"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7F197F5E" w14:textId="77777777" w:rsidR="00F9392A" w:rsidRDefault="000F0826">
            <w:pPr>
              <w:spacing w:line="200" w:lineRule="auto"/>
            </w:pPr>
            <w:r>
              <w:rPr>
                <w:sz w:val="20"/>
              </w:rPr>
              <w:t>Amberjack total system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0383CF3" w14:textId="77777777" w:rsidR="00F9392A" w:rsidRDefault="00F9392A"/>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5886FD3C" w14:textId="77777777" w:rsidR="00F9392A" w:rsidRDefault="000F0826">
            <w:pPr>
              <w:spacing w:line="200" w:lineRule="auto"/>
              <w:jc w:val="right"/>
            </w:pPr>
            <w:r>
              <w:rPr>
                <w:sz w:val="20"/>
              </w:rPr>
              <w:t>359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DADC129" w14:textId="77777777" w:rsidR="00F9392A" w:rsidRDefault="00F9392A"/>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1DD81DFC" w14:textId="77777777" w:rsidR="00F9392A" w:rsidRDefault="000F0826">
            <w:pPr>
              <w:spacing w:line="200" w:lineRule="auto"/>
              <w:jc w:val="right"/>
            </w:pPr>
            <w:r>
              <w:rPr>
                <w:sz w:val="20"/>
              </w:rPr>
              <w:t>362</w:t>
            </w:r>
          </w:p>
        </w:tc>
      </w:tr>
      <w:tr w:rsidR="00F9392A" w14:paraId="430FBB85"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1A808835" w14:textId="77777777" w:rsidR="00F9392A" w:rsidRDefault="000F0826">
            <w:pPr>
              <w:spacing w:line="200" w:lineRule="auto"/>
            </w:pPr>
            <w:r>
              <w:rPr>
                <w:sz w:val="20"/>
              </w:rPr>
              <w:t>Mars total system</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FF60C5B" w14:textId="77777777" w:rsidR="00F9392A" w:rsidRDefault="00F9392A"/>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2D44D441" w14:textId="77777777" w:rsidR="00F9392A" w:rsidRDefault="000F0826">
            <w:pPr>
              <w:spacing w:line="200" w:lineRule="auto"/>
              <w:jc w:val="right"/>
            </w:pPr>
            <w:r>
              <w:rPr>
                <w:sz w:val="20"/>
              </w:rPr>
              <w:t>569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48F893F" w14:textId="77777777" w:rsidR="00F9392A" w:rsidRDefault="00F9392A"/>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5191023D" w14:textId="77777777" w:rsidR="00F9392A" w:rsidRDefault="000F0826">
            <w:pPr>
              <w:spacing w:line="200" w:lineRule="auto"/>
              <w:jc w:val="right"/>
            </w:pPr>
            <w:r>
              <w:rPr>
                <w:sz w:val="20"/>
              </w:rPr>
              <w:t>556</w:t>
            </w:r>
          </w:p>
        </w:tc>
      </w:tr>
      <w:tr w:rsidR="00F9392A" w14:paraId="2EAB4782"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4D99C398" w14:textId="77777777" w:rsidR="00F9392A" w:rsidRDefault="000F0826">
            <w:pPr>
              <w:spacing w:line="200" w:lineRule="auto"/>
            </w:pPr>
            <w:r>
              <w:rPr>
                <w:sz w:val="20"/>
              </w:rPr>
              <w:t>Bengal total system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EF175BD" w14:textId="77777777" w:rsidR="00F9392A" w:rsidRDefault="00F9392A"/>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303E8D22" w14:textId="77777777" w:rsidR="00F9392A" w:rsidRDefault="000F0826">
            <w:pPr>
              <w:spacing w:line="200" w:lineRule="auto"/>
              <w:jc w:val="right"/>
            </w:pPr>
            <w:r>
              <w:rPr>
                <w:sz w:val="20"/>
              </w:rPr>
              <w:t>525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AB9110A" w14:textId="77777777" w:rsidR="00F9392A" w:rsidRDefault="00F9392A"/>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58CF959B" w14:textId="77777777" w:rsidR="00F9392A" w:rsidRDefault="000F0826">
            <w:pPr>
              <w:spacing w:line="200" w:lineRule="auto"/>
              <w:jc w:val="right"/>
            </w:pPr>
            <w:r>
              <w:rPr>
                <w:sz w:val="20"/>
              </w:rPr>
              <w:t>500</w:t>
            </w:r>
          </w:p>
        </w:tc>
      </w:tr>
      <w:tr w:rsidR="00F9392A" w14:paraId="0BEC9F35"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7BE304CA" w14:textId="77777777" w:rsidR="00F9392A" w:rsidRDefault="000F0826">
            <w:pPr>
              <w:spacing w:line="200" w:lineRule="auto"/>
            </w:pPr>
            <w:r>
              <w:rPr>
                <w:sz w:val="20"/>
              </w:rPr>
              <w:t>Poseidon total system</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F3BACEC" w14:textId="77777777" w:rsidR="00F9392A" w:rsidRDefault="00F9392A"/>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3F65B72C" w14:textId="77777777" w:rsidR="00F9392A" w:rsidRDefault="000F0826">
            <w:pPr>
              <w:spacing w:line="200" w:lineRule="auto"/>
              <w:jc w:val="right"/>
            </w:pPr>
            <w:r>
              <w:rPr>
                <w:sz w:val="20"/>
              </w:rPr>
              <w:t>265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C30D9DE" w14:textId="77777777" w:rsidR="00F9392A" w:rsidRDefault="00F9392A"/>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3922ED0B" w14:textId="77777777" w:rsidR="00F9392A" w:rsidRDefault="000F0826">
            <w:pPr>
              <w:spacing w:line="200" w:lineRule="auto"/>
              <w:jc w:val="right"/>
            </w:pPr>
            <w:r>
              <w:rPr>
                <w:sz w:val="20"/>
              </w:rPr>
              <w:t>253</w:t>
            </w:r>
          </w:p>
        </w:tc>
      </w:tr>
      <w:tr w:rsidR="00F9392A" w14:paraId="5F2DB946"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0FA4706D" w14:textId="77777777" w:rsidR="00F9392A" w:rsidRDefault="000F0826">
            <w:pPr>
              <w:spacing w:line="200" w:lineRule="auto"/>
            </w:pPr>
            <w:r>
              <w:rPr>
                <w:sz w:val="20"/>
              </w:rPr>
              <w:t>Auger total system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79B39B" w14:textId="77777777" w:rsidR="00F9392A" w:rsidRDefault="00F9392A"/>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01EC0905" w14:textId="77777777" w:rsidR="00F9392A" w:rsidRDefault="000F0826">
            <w:pPr>
              <w:spacing w:line="200" w:lineRule="auto"/>
              <w:jc w:val="right"/>
            </w:pPr>
            <w:r>
              <w:rPr>
                <w:sz w:val="20"/>
              </w:rPr>
              <w:t>78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722B1C6" w14:textId="77777777" w:rsidR="00F9392A" w:rsidRDefault="00F9392A"/>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690AD22B" w14:textId="77777777" w:rsidR="00F9392A" w:rsidRDefault="000F0826">
            <w:pPr>
              <w:spacing w:line="200" w:lineRule="auto"/>
              <w:jc w:val="right"/>
            </w:pPr>
            <w:r>
              <w:rPr>
                <w:sz w:val="20"/>
              </w:rPr>
              <w:t>86</w:t>
            </w:r>
          </w:p>
        </w:tc>
      </w:tr>
      <w:tr w:rsidR="00F9392A" w14:paraId="715604B1"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7829A3B8" w14:textId="77777777" w:rsidR="00F9392A" w:rsidRDefault="000F0826">
            <w:pPr>
              <w:spacing w:line="200" w:lineRule="auto"/>
            </w:pPr>
            <w:r>
              <w:rPr>
                <w:sz w:val="20"/>
              </w:rPr>
              <w:t>Delta total system</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07ABC42" w14:textId="77777777" w:rsidR="00F9392A" w:rsidRDefault="00F9392A"/>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2F9517E7" w14:textId="77777777" w:rsidR="00F9392A" w:rsidRDefault="000F0826">
            <w:pPr>
              <w:spacing w:line="200" w:lineRule="auto"/>
              <w:jc w:val="right"/>
            </w:pPr>
            <w:r>
              <w:rPr>
                <w:sz w:val="20"/>
              </w:rPr>
              <w:t>251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5C2D05D" w14:textId="77777777" w:rsidR="00F9392A" w:rsidRDefault="00F9392A"/>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1DC0324A" w14:textId="77777777" w:rsidR="00F9392A" w:rsidRDefault="000F0826">
            <w:pPr>
              <w:spacing w:line="200" w:lineRule="auto"/>
              <w:jc w:val="right"/>
            </w:pPr>
            <w:r>
              <w:rPr>
                <w:sz w:val="20"/>
              </w:rPr>
              <w:t>273</w:t>
            </w:r>
          </w:p>
        </w:tc>
      </w:tr>
      <w:tr w:rsidR="00F9392A" w14:paraId="273A46E7"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0BFEE2E7" w14:textId="77777777" w:rsidR="00F9392A" w:rsidRDefault="000F0826">
            <w:pPr>
              <w:spacing w:line="200" w:lineRule="auto"/>
            </w:pPr>
            <w:r>
              <w:rPr>
                <w:sz w:val="20"/>
              </w:rPr>
              <w:t xml:space="preserve">Na </w:t>
            </w:r>
            <w:proofErr w:type="spellStart"/>
            <w:r>
              <w:rPr>
                <w:sz w:val="20"/>
              </w:rPr>
              <w:t>Kika</w:t>
            </w:r>
            <w:proofErr w:type="spellEnd"/>
            <w:r>
              <w:rPr>
                <w:sz w:val="20"/>
              </w:rPr>
              <w:t xml:space="preserve"> total system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538146" w14:textId="77777777" w:rsidR="00F9392A" w:rsidRDefault="00F9392A"/>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3A932D9A" w14:textId="77777777" w:rsidR="00F9392A" w:rsidRDefault="000F0826">
            <w:pPr>
              <w:spacing w:line="200" w:lineRule="auto"/>
              <w:jc w:val="right"/>
            </w:pPr>
            <w:r>
              <w:rPr>
                <w:sz w:val="20"/>
              </w:rPr>
              <w:t>33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B493840" w14:textId="77777777" w:rsidR="00F9392A" w:rsidRDefault="00F9392A"/>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02FFB7C9" w14:textId="77777777" w:rsidR="00F9392A" w:rsidRDefault="000F0826">
            <w:pPr>
              <w:spacing w:line="200" w:lineRule="auto"/>
              <w:jc w:val="right"/>
            </w:pPr>
            <w:r>
              <w:rPr>
                <w:sz w:val="20"/>
              </w:rPr>
              <w:t>45</w:t>
            </w:r>
          </w:p>
        </w:tc>
      </w:tr>
      <w:tr w:rsidR="00F9392A" w14:paraId="38A7FEC6"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01BEDE32" w14:textId="77777777" w:rsidR="00F9392A" w:rsidRDefault="000F0826">
            <w:pPr>
              <w:spacing w:line="200" w:lineRule="auto"/>
            </w:pPr>
            <w:r>
              <w:rPr>
                <w:sz w:val="20"/>
              </w:rPr>
              <w:t>Odyssey total system</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14:paraId="125ED937" w14:textId="77777777" w:rsidR="00F9392A" w:rsidRDefault="00F9392A">
            <w:pPr>
              <w:spacing w:line="200" w:lineRule="auto"/>
            </w:pPr>
          </w:p>
        </w:tc>
        <w:tc>
          <w:tcPr>
            <w:tcW w:w="1470" w:type="dxa"/>
            <w:gridSpan w:val="2"/>
            <w:tcBorders>
              <w:top w:val="nil"/>
              <w:left w:val="nil"/>
              <w:bottom w:val="nil"/>
              <w:right w:val="nil"/>
            </w:tcBorders>
            <w:shd w:val="clear" w:color="auto" w:fill="FFFFFF"/>
            <w:tcMar>
              <w:top w:w="75" w:type="dxa"/>
              <w:left w:w="53" w:type="dxa"/>
              <w:bottom w:w="30" w:type="dxa"/>
              <w:right w:w="53" w:type="dxa"/>
            </w:tcMar>
            <w:vAlign w:val="bottom"/>
          </w:tcPr>
          <w:p w14:paraId="5BBFDD89" w14:textId="77777777" w:rsidR="00F9392A" w:rsidRDefault="000F0826">
            <w:pPr>
              <w:spacing w:line="200" w:lineRule="auto"/>
              <w:jc w:val="right"/>
            </w:pPr>
            <w:r>
              <w:rPr>
                <w:sz w:val="20"/>
              </w:rPr>
              <w:t>149</w:t>
            </w:r>
          </w:p>
        </w:tc>
        <w:tc>
          <w:tcPr>
            <w:tcW w:w="75" w:type="dxa"/>
            <w:tcBorders>
              <w:top w:val="nil"/>
              <w:left w:val="nil"/>
              <w:bottom w:val="nil"/>
              <w:right w:val="nil"/>
            </w:tcBorders>
            <w:shd w:val="clear" w:color="auto" w:fill="FFFFFF"/>
            <w:tcMar>
              <w:top w:w="75" w:type="dxa"/>
              <w:left w:w="53" w:type="dxa"/>
              <w:bottom w:w="30" w:type="dxa"/>
              <w:right w:w="53" w:type="dxa"/>
            </w:tcMar>
            <w:vAlign w:val="bottom"/>
          </w:tcPr>
          <w:p w14:paraId="6AA2B758" w14:textId="77777777" w:rsidR="00F9392A" w:rsidRDefault="00F9392A">
            <w:pPr>
              <w:spacing w:line="200" w:lineRule="auto"/>
            </w:pPr>
          </w:p>
        </w:tc>
        <w:tc>
          <w:tcPr>
            <w:tcW w:w="1500" w:type="dxa"/>
            <w:gridSpan w:val="2"/>
            <w:tcBorders>
              <w:top w:val="nil"/>
              <w:left w:val="nil"/>
              <w:bottom w:val="nil"/>
              <w:right w:val="nil"/>
            </w:tcBorders>
            <w:shd w:val="clear" w:color="auto" w:fill="FFFFFF"/>
            <w:tcMar>
              <w:top w:w="75" w:type="dxa"/>
              <w:left w:w="53" w:type="dxa"/>
              <w:bottom w:w="30" w:type="dxa"/>
              <w:right w:w="53" w:type="dxa"/>
            </w:tcMar>
            <w:vAlign w:val="bottom"/>
          </w:tcPr>
          <w:p w14:paraId="7F609E5B" w14:textId="77777777" w:rsidR="00F9392A" w:rsidRDefault="000F0826">
            <w:pPr>
              <w:spacing w:line="200" w:lineRule="auto"/>
              <w:jc w:val="right"/>
            </w:pPr>
            <w:r>
              <w:rPr>
                <w:sz w:val="20"/>
              </w:rPr>
              <w:t>152</w:t>
            </w:r>
          </w:p>
        </w:tc>
      </w:tr>
      <w:tr w:rsidR="00F9392A" w14:paraId="689E8D25"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1FE5B332" w14:textId="77777777" w:rsidR="00F9392A" w:rsidRDefault="000F0826">
            <w:pPr>
              <w:spacing w:line="200" w:lineRule="auto"/>
            </w:pPr>
            <w:r>
              <w:rPr>
                <w:sz w:val="20"/>
              </w:rPr>
              <w:t>Colonial total system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A1840A8" w14:textId="77777777" w:rsidR="00F9392A" w:rsidRDefault="00F9392A"/>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1F754F6A" w14:textId="77777777" w:rsidR="00F9392A" w:rsidRDefault="000F0826">
            <w:pPr>
              <w:spacing w:line="200" w:lineRule="auto"/>
              <w:jc w:val="right"/>
            </w:pPr>
            <w:r>
              <w:rPr>
                <w:sz w:val="20"/>
              </w:rPr>
              <w:t>2,547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2745BF0" w14:textId="77777777" w:rsidR="00F9392A" w:rsidRDefault="00F9392A"/>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74F7FC7F" w14:textId="77777777" w:rsidR="00F9392A" w:rsidRDefault="000F0826">
            <w:pPr>
              <w:spacing w:line="200" w:lineRule="auto"/>
              <w:jc w:val="right"/>
            </w:pPr>
            <w:r>
              <w:rPr>
                <w:sz w:val="20"/>
              </w:rPr>
              <w:t>2,656</w:t>
            </w:r>
          </w:p>
        </w:tc>
      </w:tr>
      <w:tr w:rsidR="00F9392A" w14:paraId="41A768D2"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2599ABC5" w14:textId="77777777" w:rsidR="00F9392A" w:rsidRDefault="000F0826">
            <w:pPr>
              <w:spacing w:line="200" w:lineRule="auto"/>
            </w:pPr>
            <w:r>
              <w:rPr>
                <w:sz w:val="20"/>
              </w:rPr>
              <w:t>Explorer total system</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35F6A8D" w14:textId="77777777" w:rsidR="00F9392A" w:rsidRDefault="00F9392A"/>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4E876FB9" w14:textId="77777777" w:rsidR="00F9392A" w:rsidRDefault="000F0826">
            <w:pPr>
              <w:spacing w:line="200" w:lineRule="auto"/>
              <w:jc w:val="right"/>
            </w:pPr>
            <w:r>
              <w:rPr>
                <w:sz w:val="20"/>
              </w:rPr>
              <w:t>775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CD5F781" w14:textId="77777777" w:rsidR="00F9392A" w:rsidRDefault="00F9392A"/>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7784EDE5" w14:textId="77777777" w:rsidR="00F9392A" w:rsidRDefault="000F0826">
            <w:pPr>
              <w:spacing w:line="200" w:lineRule="auto"/>
              <w:jc w:val="right"/>
            </w:pPr>
            <w:r>
              <w:rPr>
                <w:sz w:val="20"/>
              </w:rPr>
              <w:t>551</w:t>
            </w:r>
          </w:p>
        </w:tc>
      </w:tr>
      <w:tr w:rsidR="00F9392A" w14:paraId="56303EAD"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4E6D193A" w14:textId="77777777" w:rsidR="00F9392A" w:rsidRDefault="000F0826">
            <w:pPr>
              <w:spacing w:line="200" w:lineRule="auto"/>
            </w:pPr>
            <w:r>
              <w:rPr>
                <w:sz w:val="20"/>
              </w:rPr>
              <w:t>LOCAP total system</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A6DB736" w14:textId="77777777" w:rsidR="00F9392A" w:rsidRDefault="00F9392A"/>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6E1A7718" w14:textId="77777777" w:rsidR="00F9392A" w:rsidRDefault="000F0826">
            <w:pPr>
              <w:spacing w:line="200" w:lineRule="auto"/>
              <w:jc w:val="right"/>
            </w:pPr>
            <w:r>
              <w:rPr>
                <w:sz w:val="20"/>
              </w:rPr>
              <w:t>1,210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857C3D1" w14:textId="77777777" w:rsidR="00F9392A" w:rsidRDefault="00F9392A"/>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29FFD237" w14:textId="77777777" w:rsidR="00F9392A" w:rsidRDefault="000F0826">
            <w:pPr>
              <w:spacing w:line="200" w:lineRule="auto"/>
              <w:jc w:val="right"/>
            </w:pPr>
            <w:r>
              <w:rPr>
                <w:sz w:val="20"/>
              </w:rPr>
              <w:t>1,216</w:t>
            </w:r>
          </w:p>
        </w:tc>
      </w:tr>
      <w:tr w:rsidR="00F9392A" w14:paraId="131D2D51"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13E1639E" w14:textId="77777777" w:rsidR="00F9392A" w:rsidRDefault="000F0826">
            <w:pPr>
              <w:spacing w:line="200" w:lineRule="auto"/>
            </w:pPr>
            <w:r>
              <w:rPr>
                <w:sz w:val="20"/>
              </w:rPr>
              <w:t>Other systems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B76609" w14:textId="77777777" w:rsidR="00F9392A" w:rsidRDefault="00F9392A"/>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3ED2459B" w14:textId="77777777" w:rsidR="00F9392A" w:rsidRDefault="000F0826">
            <w:pPr>
              <w:spacing w:line="200" w:lineRule="auto"/>
              <w:jc w:val="right"/>
            </w:pPr>
            <w:r>
              <w:rPr>
                <w:sz w:val="20"/>
              </w:rPr>
              <w:t>369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3C51916" w14:textId="77777777" w:rsidR="00F9392A" w:rsidRDefault="00F9392A"/>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5B60294C" w14:textId="77777777" w:rsidR="00F9392A" w:rsidRDefault="000F0826">
            <w:pPr>
              <w:spacing w:line="200" w:lineRule="auto"/>
              <w:jc w:val="right"/>
            </w:pPr>
            <w:r>
              <w:rPr>
                <w:sz w:val="20"/>
              </w:rPr>
              <w:t>194</w:t>
            </w:r>
          </w:p>
        </w:tc>
      </w:tr>
      <w:tr w:rsidR="00F9392A" w14:paraId="7628ABDF" w14:textId="77777777">
        <w:trPr>
          <w:trHeight w:hRule="exact" w:val="300"/>
          <w:jc w:val="center"/>
        </w:trPr>
        <w:tc>
          <w:tcPr>
            <w:tcW w:w="6990" w:type="dxa"/>
            <w:tcBorders>
              <w:top w:val="nil"/>
              <w:left w:val="nil"/>
              <w:bottom w:val="nil"/>
              <w:right w:val="nil"/>
            </w:tcBorders>
            <w:shd w:val="clear" w:color="auto" w:fill="CCEEFF"/>
            <w:tcMar>
              <w:top w:w="0" w:type="dxa"/>
              <w:left w:w="0" w:type="dxa"/>
              <w:bottom w:w="0" w:type="dxa"/>
              <w:right w:w="0" w:type="dxa"/>
            </w:tcMar>
            <w:vAlign w:val="bottom"/>
          </w:tcPr>
          <w:p w14:paraId="616034B2" w14:textId="77777777" w:rsidR="00F9392A" w:rsidRDefault="00F9392A"/>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D27A50" w14:textId="77777777" w:rsidR="00F9392A" w:rsidRDefault="00F9392A"/>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1FAB2D40" w14:textId="77777777" w:rsidR="00F9392A" w:rsidRDefault="00F9392A"/>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4F3B018" w14:textId="77777777" w:rsidR="00F9392A" w:rsidRDefault="00F9392A"/>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13B732E8" w14:textId="77777777" w:rsidR="00F9392A" w:rsidRDefault="00F9392A"/>
        </w:tc>
      </w:tr>
      <w:tr w:rsidR="00F9392A" w14:paraId="4994A069"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11566FB1" w14:textId="77777777" w:rsidR="00F9392A" w:rsidRDefault="000F0826">
            <w:pPr>
              <w:widowControl w:val="0"/>
              <w:spacing w:line="200" w:lineRule="auto"/>
            </w:pPr>
            <w:r>
              <w:rPr>
                <w:b/>
                <w:sz w:val="20"/>
              </w:rPr>
              <w:t>Terminals</w:t>
            </w:r>
            <w:r>
              <w:rPr>
                <w:b/>
                <w:sz w:val="20"/>
                <w:vertAlign w:val="superscript"/>
              </w:rPr>
              <w:t xml:space="preserve"> (2)(3)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C079F82" w14:textId="77777777" w:rsidR="00F9392A" w:rsidRDefault="00F9392A"/>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0B7F1FA3" w14:textId="77777777" w:rsidR="00F9392A" w:rsidRDefault="00F9392A"/>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6ED68CA" w14:textId="77777777" w:rsidR="00F9392A" w:rsidRDefault="00F9392A"/>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7CD9C62D" w14:textId="77777777" w:rsidR="00F9392A" w:rsidRDefault="00F9392A"/>
        </w:tc>
      </w:tr>
      <w:tr w:rsidR="00F9392A" w14:paraId="0E101BE7"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65DAC3EB" w14:textId="77777777" w:rsidR="00F9392A" w:rsidRDefault="000F0826">
            <w:pPr>
              <w:spacing w:line="200" w:lineRule="auto"/>
            </w:pPr>
            <w:r>
              <w:rPr>
                <w:sz w:val="20"/>
              </w:rPr>
              <w:t xml:space="preserve">Lockport </w:t>
            </w:r>
            <w:proofErr w:type="spellStart"/>
            <w:r>
              <w:rPr>
                <w:sz w:val="20"/>
              </w:rPr>
              <w:t>terminaling</w:t>
            </w:r>
            <w:proofErr w:type="spellEnd"/>
            <w:r>
              <w:rPr>
                <w:sz w:val="20"/>
              </w:rPr>
              <w:t xml:space="preserve"> throughput and storage volumes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9AFE2B" w14:textId="77777777" w:rsidR="00F9392A" w:rsidRDefault="00F9392A"/>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19156B66" w14:textId="77777777" w:rsidR="00F9392A" w:rsidRDefault="000F0826">
            <w:pPr>
              <w:spacing w:line="200" w:lineRule="auto"/>
              <w:jc w:val="right"/>
            </w:pPr>
            <w:r>
              <w:rPr>
                <w:sz w:val="20"/>
              </w:rPr>
              <w:t>221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C5EF3C" w14:textId="77777777" w:rsidR="00F9392A" w:rsidRDefault="00F9392A"/>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7577C010" w14:textId="77777777" w:rsidR="00F9392A" w:rsidRDefault="000F0826">
            <w:pPr>
              <w:spacing w:line="200" w:lineRule="auto"/>
              <w:jc w:val="right"/>
            </w:pPr>
            <w:r>
              <w:rPr>
                <w:sz w:val="20"/>
              </w:rPr>
              <w:t>222</w:t>
            </w:r>
          </w:p>
        </w:tc>
      </w:tr>
      <w:tr w:rsidR="00F9392A" w14:paraId="326CC0CA" w14:textId="77777777">
        <w:trPr>
          <w:trHeight w:hRule="exact" w:val="300"/>
          <w:jc w:val="center"/>
        </w:trPr>
        <w:tc>
          <w:tcPr>
            <w:tcW w:w="6990" w:type="dxa"/>
            <w:tcBorders>
              <w:top w:val="nil"/>
              <w:left w:val="nil"/>
              <w:bottom w:val="nil"/>
              <w:right w:val="nil"/>
            </w:tcBorders>
            <w:shd w:val="clear" w:color="auto" w:fill="FFFFFF"/>
            <w:tcMar>
              <w:top w:w="0" w:type="dxa"/>
              <w:left w:w="0" w:type="dxa"/>
              <w:bottom w:w="0" w:type="dxa"/>
              <w:right w:w="0" w:type="dxa"/>
            </w:tcMar>
            <w:vAlign w:val="bottom"/>
          </w:tcPr>
          <w:p w14:paraId="1B0B2A96" w14:textId="77777777" w:rsidR="00F9392A" w:rsidRDefault="00F9392A"/>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66D82C7" w14:textId="77777777" w:rsidR="00F9392A" w:rsidRDefault="00F9392A"/>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023ECE4F" w14:textId="77777777" w:rsidR="00F9392A" w:rsidRDefault="00F9392A"/>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E7D6126" w14:textId="77777777" w:rsidR="00F9392A" w:rsidRDefault="00F9392A"/>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6B04CE57" w14:textId="77777777" w:rsidR="00F9392A" w:rsidRDefault="00F9392A"/>
        </w:tc>
      </w:tr>
      <w:tr w:rsidR="00F9392A" w14:paraId="73F6004F"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112CCF7D" w14:textId="77777777" w:rsidR="00F9392A" w:rsidRDefault="000F0826">
            <w:pPr>
              <w:spacing w:line="200" w:lineRule="auto"/>
            </w:pPr>
            <w:r>
              <w:rPr>
                <w:b/>
                <w:sz w:val="20"/>
              </w:rPr>
              <w:t>Revenue per barrel ($ per barrel)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F20BA89" w14:textId="77777777" w:rsidR="00F9392A" w:rsidRDefault="00F9392A"/>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25A10897" w14:textId="77777777" w:rsidR="00F9392A" w:rsidRDefault="00F9392A"/>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D35535" w14:textId="77777777" w:rsidR="00F9392A" w:rsidRDefault="00F9392A"/>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1F78AF9E" w14:textId="77777777" w:rsidR="00F9392A" w:rsidRDefault="00F9392A"/>
        </w:tc>
      </w:tr>
      <w:tr w:rsidR="00F9392A" w14:paraId="169E069D"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3F76D494" w14:textId="77777777" w:rsidR="00F9392A" w:rsidRDefault="000F0826">
            <w:pPr>
              <w:widowControl w:val="0"/>
              <w:spacing w:line="200" w:lineRule="auto"/>
            </w:pPr>
            <w:r>
              <w:rPr>
                <w:sz w:val="20"/>
              </w:rPr>
              <w:t xml:space="preserve">Zydeco total </w:t>
            </w:r>
            <w:r>
              <w:rPr>
                <w:sz w:val="20"/>
              </w:rPr>
              <w:t>system</w:t>
            </w:r>
            <w:r>
              <w:rPr>
                <w:sz w:val="20"/>
                <w:vertAlign w:val="superscript"/>
              </w:rPr>
              <w:t xml:space="preserve"> (4)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CC61199" w14:textId="77777777" w:rsidR="00F9392A" w:rsidRDefault="00F9392A"/>
        </w:tc>
        <w:tc>
          <w:tcPr>
            <w:tcW w:w="100" w:type="dxa"/>
            <w:tcBorders>
              <w:top w:val="nil"/>
              <w:left w:val="nil"/>
              <w:bottom w:val="nil"/>
              <w:right w:val="nil"/>
            </w:tcBorders>
            <w:shd w:val="clear" w:color="auto" w:fill="FFFFFF"/>
            <w:tcMar>
              <w:top w:w="0" w:type="dxa"/>
              <w:left w:w="0" w:type="dxa"/>
              <w:bottom w:w="0" w:type="dxa"/>
              <w:right w:w="0" w:type="dxa"/>
            </w:tcMar>
            <w:vAlign w:val="bottom"/>
          </w:tcPr>
          <w:p w14:paraId="659E00A2" w14:textId="77777777" w:rsidR="00F9392A" w:rsidRDefault="000F0826">
            <w:pPr>
              <w:spacing w:line="200" w:lineRule="auto"/>
            </w:pPr>
            <w:r>
              <w:rPr>
                <w:sz w:val="20"/>
              </w:rPr>
              <w:t>$</w:t>
            </w:r>
          </w:p>
        </w:tc>
        <w:tc>
          <w:tcPr>
            <w:tcW w:w="1370" w:type="dxa"/>
            <w:tcBorders>
              <w:top w:val="nil"/>
              <w:left w:val="nil"/>
              <w:bottom w:val="nil"/>
              <w:right w:val="nil"/>
            </w:tcBorders>
            <w:shd w:val="clear" w:color="auto" w:fill="FFFFFF"/>
            <w:tcMar>
              <w:top w:w="0" w:type="dxa"/>
              <w:left w:w="0" w:type="dxa"/>
              <w:bottom w:w="0" w:type="dxa"/>
              <w:right w:w="0" w:type="dxa"/>
            </w:tcMar>
            <w:vAlign w:val="bottom"/>
          </w:tcPr>
          <w:p w14:paraId="798B2FD3" w14:textId="77777777" w:rsidR="00F9392A" w:rsidRDefault="000F0826">
            <w:pPr>
              <w:spacing w:line="200" w:lineRule="auto"/>
              <w:jc w:val="right"/>
            </w:pPr>
            <w:r>
              <w:rPr>
                <w:sz w:val="20"/>
              </w:rPr>
              <w:t>0.52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BB69DD9" w14:textId="77777777" w:rsidR="00F9392A" w:rsidRDefault="00F9392A"/>
        </w:tc>
        <w:tc>
          <w:tcPr>
            <w:tcW w:w="100" w:type="dxa"/>
            <w:tcBorders>
              <w:top w:val="nil"/>
              <w:left w:val="nil"/>
              <w:bottom w:val="nil"/>
              <w:right w:val="nil"/>
            </w:tcBorders>
            <w:shd w:val="clear" w:color="auto" w:fill="FFFFFF"/>
            <w:tcMar>
              <w:top w:w="0" w:type="dxa"/>
              <w:left w:w="0" w:type="dxa"/>
              <w:bottom w:w="0" w:type="dxa"/>
              <w:right w:w="0" w:type="dxa"/>
            </w:tcMar>
            <w:vAlign w:val="bottom"/>
          </w:tcPr>
          <w:p w14:paraId="57D272C2" w14:textId="77777777" w:rsidR="00F9392A" w:rsidRDefault="000F0826">
            <w:pPr>
              <w:spacing w:line="200" w:lineRule="auto"/>
            </w:pPr>
            <w:r>
              <w:rPr>
                <w:sz w:val="20"/>
              </w:rPr>
              <w:t>$</w:t>
            </w: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3F897017" w14:textId="77777777" w:rsidR="00F9392A" w:rsidRDefault="000F0826">
            <w:pPr>
              <w:spacing w:line="200" w:lineRule="auto"/>
              <w:jc w:val="right"/>
            </w:pPr>
            <w:r>
              <w:rPr>
                <w:sz w:val="20"/>
              </w:rPr>
              <w:t>0.62</w:t>
            </w:r>
          </w:p>
        </w:tc>
      </w:tr>
      <w:tr w:rsidR="00F9392A" w14:paraId="70679E98"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477069DC" w14:textId="77777777" w:rsidR="00F9392A" w:rsidRDefault="000F0826">
            <w:pPr>
              <w:widowControl w:val="0"/>
              <w:spacing w:line="200" w:lineRule="auto"/>
            </w:pPr>
            <w:r>
              <w:rPr>
                <w:sz w:val="20"/>
              </w:rPr>
              <w:t xml:space="preserve">Amberjack total system </w:t>
            </w:r>
            <w:r>
              <w:rPr>
                <w:sz w:val="20"/>
                <w:vertAlign w:val="superscript"/>
              </w:rPr>
              <w:t>(4)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E99F8EF" w14:textId="77777777" w:rsidR="00F9392A" w:rsidRDefault="00F9392A"/>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33EFC4C3" w14:textId="77777777" w:rsidR="00F9392A" w:rsidRDefault="000F0826">
            <w:pPr>
              <w:spacing w:line="200" w:lineRule="auto"/>
              <w:jc w:val="right"/>
            </w:pPr>
            <w:r>
              <w:rPr>
                <w:sz w:val="20"/>
              </w:rPr>
              <w:t>2.26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05C41D0" w14:textId="77777777" w:rsidR="00F9392A" w:rsidRDefault="00F9392A"/>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3E557B4A" w14:textId="77777777" w:rsidR="00F9392A" w:rsidRDefault="000F0826">
            <w:pPr>
              <w:spacing w:line="200" w:lineRule="auto"/>
              <w:jc w:val="right"/>
            </w:pPr>
            <w:r>
              <w:rPr>
                <w:sz w:val="20"/>
              </w:rPr>
              <w:t>2.51</w:t>
            </w:r>
          </w:p>
        </w:tc>
      </w:tr>
      <w:tr w:rsidR="00F9392A" w14:paraId="0F3E865E"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523C2FD1" w14:textId="77777777" w:rsidR="00F9392A" w:rsidRDefault="000F0826">
            <w:pPr>
              <w:widowControl w:val="0"/>
              <w:spacing w:line="200" w:lineRule="auto"/>
            </w:pPr>
            <w:r>
              <w:rPr>
                <w:sz w:val="20"/>
              </w:rPr>
              <w:t>Mars total system</w:t>
            </w:r>
            <w:r>
              <w:rPr>
                <w:sz w:val="20"/>
                <w:vertAlign w:val="superscript"/>
              </w:rPr>
              <w:t xml:space="preserve"> (4)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A0355D7" w14:textId="77777777" w:rsidR="00F9392A" w:rsidRDefault="00F9392A"/>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1D010F0C" w14:textId="77777777" w:rsidR="00F9392A" w:rsidRDefault="000F0826">
            <w:pPr>
              <w:spacing w:line="200" w:lineRule="auto"/>
              <w:jc w:val="right"/>
            </w:pPr>
            <w:r>
              <w:rPr>
                <w:sz w:val="20"/>
              </w:rPr>
              <w:t>1.16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CAAEF17" w14:textId="77777777" w:rsidR="00F9392A" w:rsidRDefault="00F9392A"/>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54A313E1" w14:textId="77777777" w:rsidR="00F9392A" w:rsidRDefault="000F0826">
            <w:pPr>
              <w:spacing w:line="200" w:lineRule="auto"/>
              <w:jc w:val="right"/>
            </w:pPr>
            <w:r>
              <w:rPr>
                <w:sz w:val="20"/>
              </w:rPr>
              <w:t>1.21</w:t>
            </w:r>
          </w:p>
        </w:tc>
      </w:tr>
      <w:tr w:rsidR="00F9392A" w14:paraId="79FF7B51"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6CB57FA4" w14:textId="77777777" w:rsidR="00F9392A" w:rsidRDefault="000F0826">
            <w:pPr>
              <w:widowControl w:val="0"/>
              <w:spacing w:line="200" w:lineRule="auto"/>
            </w:pPr>
            <w:r>
              <w:rPr>
                <w:sz w:val="20"/>
              </w:rPr>
              <w:t>Bengal total system</w:t>
            </w:r>
            <w:r>
              <w:rPr>
                <w:sz w:val="20"/>
                <w:vertAlign w:val="superscript"/>
              </w:rPr>
              <w:t xml:space="preserve"> (4)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9EE98F6" w14:textId="77777777" w:rsidR="00F9392A" w:rsidRDefault="00F9392A"/>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216EDBE0" w14:textId="77777777" w:rsidR="00F9392A" w:rsidRDefault="000F0826">
            <w:pPr>
              <w:spacing w:line="200" w:lineRule="auto"/>
              <w:jc w:val="right"/>
            </w:pPr>
            <w:r>
              <w:rPr>
                <w:sz w:val="20"/>
              </w:rPr>
              <w:t>0.39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4F5F74B" w14:textId="77777777" w:rsidR="00F9392A" w:rsidRDefault="00F9392A"/>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5B1CC6B2" w14:textId="77777777" w:rsidR="00F9392A" w:rsidRDefault="000F0826">
            <w:pPr>
              <w:spacing w:line="200" w:lineRule="auto"/>
              <w:jc w:val="right"/>
            </w:pPr>
            <w:r>
              <w:rPr>
                <w:sz w:val="20"/>
              </w:rPr>
              <w:t>0.39</w:t>
            </w:r>
          </w:p>
        </w:tc>
      </w:tr>
      <w:tr w:rsidR="00F9392A" w14:paraId="3E745E45"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592ADEC4" w14:textId="77777777" w:rsidR="00F9392A" w:rsidRDefault="000F0826">
            <w:pPr>
              <w:widowControl w:val="0"/>
              <w:spacing w:line="200" w:lineRule="auto"/>
            </w:pPr>
            <w:r>
              <w:rPr>
                <w:sz w:val="20"/>
              </w:rPr>
              <w:t xml:space="preserve">Auger total system </w:t>
            </w:r>
            <w:r>
              <w:rPr>
                <w:sz w:val="20"/>
                <w:vertAlign w:val="superscript"/>
              </w:rPr>
              <w:t>(4)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CB0E748" w14:textId="77777777" w:rsidR="00F9392A" w:rsidRDefault="00F9392A"/>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09A5AC72" w14:textId="77777777" w:rsidR="00F9392A" w:rsidRDefault="000F0826">
            <w:pPr>
              <w:spacing w:line="200" w:lineRule="auto"/>
              <w:jc w:val="right"/>
            </w:pPr>
            <w:r>
              <w:rPr>
                <w:sz w:val="20"/>
              </w:rPr>
              <w:t>1.39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3D54B7C" w14:textId="77777777" w:rsidR="00F9392A" w:rsidRDefault="00F9392A"/>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18BDA51F" w14:textId="77777777" w:rsidR="00F9392A" w:rsidRDefault="000F0826">
            <w:pPr>
              <w:spacing w:line="200" w:lineRule="auto"/>
              <w:jc w:val="right"/>
            </w:pPr>
            <w:r>
              <w:rPr>
                <w:sz w:val="20"/>
              </w:rPr>
              <w:t>1.37</w:t>
            </w:r>
          </w:p>
        </w:tc>
      </w:tr>
      <w:tr w:rsidR="00F9392A" w14:paraId="450B49CE"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115145E6" w14:textId="77777777" w:rsidR="00F9392A" w:rsidRDefault="000F0826">
            <w:pPr>
              <w:widowControl w:val="0"/>
              <w:spacing w:line="200" w:lineRule="auto"/>
            </w:pPr>
            <w:r>
              <w:rPr>
                <w:sz w:val="20"/>
              </w:rPr>
              <w:t>Delta total system</w:t>
            </w:r>
            <w:r>
              <w:rPr>
                <w:sz w:val="20"/>
                <w:vertAlign w:val="superscript"/>
              </w:rPr>
              <w:t xml:space="preserve"> (4)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5F3514F" w14:textId="77777777" w:rsidR="00F9392A" w:rsidRDefault="00F9392A"/>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12832BDA" w14:textId="77777777" w:rsidR="00F9392A" w:rsidRDefault="000F0826">
            <w:pPr>
              <w:spacing w:line="200" w:lineRule="auto"/>
              <w:jc w:val="right"/>
            </w:pPr>
            <w:r>
              <w:rPr>
                <w:sz w:val="20"/>
              </w:rPr>
              <w:t>0.58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D361041" w14:textId="77777777" w:rsidR="00F9392A" w:rsidRDefault="00F9392A"/>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2E1A6116" w14:textId="77777777" w:rsidR="00F9392A" w:rsidRDefault="000F0826">
            <w:pPr>
              <w:spacing w:line="200" w:lineRule="auto"/>
              <w:jc w:val="right"/>
            </w:pPr>
            <w:r>
              <w:rPr>
                <w:sz w:val="20"/>
              </w:rPr>
              <w:t>0.56</w:t>
            </w:r>
          </w:p>
        </w:tc>
      </w:tr>
      <w:tr w:rsidR="00F9392A" w14:paraId="065FDF3E"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5D1B423E" w14:textId="77777777" w:rsidR="00F9392A" w:rsidRDefault="000F0826">
            <w:pPr>
              <w:widowControl w:val="0"/>
              <w:spacing w:line="200" w:lineRule="auto"/>
            </w:pPr>
            <w:r>
              <w:rPr>
                <w:sz w:val="20"/>
              </w:rPr>
              <w:t xml:space="preserve">Na </w:t>
            </w:r>
            <w:proofErr w:type="spellStart"/>
            <w:r>
              <w:rPr>
                <w:sz w:val="20"/>
              </w:rPr>
              <w:t>Kika</w:t>
            </w:r>
            <w:proofErr w:type="spellEnd"/>
            <w:r>
              <w:rPr>
                <w:sz w:val="20"/>
              </w:rPr>
              <w:t xml:space="preserve"> total system</w:t>
            </w:r>
            <w:r>
              <w:rPr>
                <w:sz w:val="20"/>
                <w:vertAlign w:val="superscript"/>
              </w:rPr>
              <w:t xml:space="preserve"> (4)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9C93FA1" w14:textId="77777777" w:rsidR="00F9392A" w:rsidRDefault="00F9392A"/>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389AEE09" w14:textId="77777777" w:rsidR="00F9392A" w:rsidRDefault="000F0826">
            <w:pPr>
              <w:spacing w:line="200" w:lineRule="auto"/>
              <w:jc w:val="right"/>
            </w:pPr>
            <w:r>
              <w:rPr>
                <w:sz w:val="20"/>
              </w:rPr>
              <w:t>0.75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AAAB480" w14:textId="77777777" w:rsidR="00F9392A" w:rsidRDefault="00F9392A"/>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71DB552F" w14:textId="77777777" w:rsidR="00F9392A" w:rsidRDefault="000F0826">
            <w:pPr>
              <w:spacing w:line="200" w:lineRule="auto"/>
              <w:jc w:val="right"/>
            </w:pPr>
            <w:r>
              <w:rPr>
                <w:sz w:val="20"/>
              </w:rPr>
              <w:t>0.76</w:t>
            </w:r>
          </w:p>
        </w:tc>
      </w:tr>
      <w:tr w:rsidR="00F9392A" w14:paraId="30597336" w14:textId="77777777">
        <w:trPr>
          <w:trHeight w:hRule="exact" w:val="300"/>
          <w:jc w:val="center"/>
        </w:trPr>
        <w:tc>
          <w:tcPr>
            <w:tcW w:w="6990" w:type="dxa"/>
            <w:tcBorders>
              <w:top w:val="nil"/>
              <w:left w:val="nil"/>
              <w:bottom w:val="nil"/>
              <w:right w:val="nil"/>
            </w:tcBorders>
            <w:shd w:val="clear" w:color="auto" w:fill="CCEEFF"/>
            <w:tcMar>
              <w:top w:w="75" w:type="dxa"/>
              <w:left w:w="53" w:type="dxa"/>
              <w:bottom w:w="30" w:type="dxa"/>
              <w:right w:w="53" w:type="dxa"/>
            </w:tcMar>
            <w:vAlign w:val="bottom"/>
          </w:tcPr>
          <w:p w14:paraId="2704080B" w14:textId="77777777" w:rsidR="00F9392A" w:rsidRDefault="000F0826">
            <w:pPr>
              <w:widowControl w:val="0"/>
              <w:spacing w:line="200" w:lineRule="auto"/>
            </w:pPr>
            <w:r>
              <w:rPr>
                <w:sz w:val="20"/>
              </w:rPr>
              <w:t>Odyssey total system</w:t>
            </w:r>
            <w:r>
              <w:rPr>
                <w:sz w:val="20"/>
                <w:vertAlign w:val="superscript"/>
              </w:rPr>
              <w:t xml:space="preserve"> (4)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B56283" w14:textId="77777777" w:rsidR="00F9392A" w:rsidRDefault="00F9392A"/>
        </w:tc>
        <w:tc>
          <w:tcPr>
            <w:tcW w:w="1470" w:type="dxa"/>
            <w:gridSpan w:val="2"/>
            <w:tcBorders>
              <w:top w:val="nil"/>
              <w:left w:val="nil"/>
              <w:bottom w:val="nil"/>
              <w:right w:val="nil"/>
            </w:tcBorders>
            <w:shd w:val="clear" w:color="auto" w:fill="CCEEFF"/>
            <w:tcMar>
              <w:top w:w="0" w:type="dxa"/>
              <w:left w:w="0" w:type="dxa"/>
              <w:bottom w:w="0" w:type="dxa"/>
              <w:right w:w="0" w:type="dxa"/>
            </w:tcMar>
            <w:vAlign w:val="bottom"/>
          </w:tcPr>
          <w:p w14:paraId="29913799" w14:textId="77777777" w:rsidR="00F9392A" w:rsidRDefault="000F0826">
            <w:pPr>
              <w:spacing w:line="200" w:lineRule="auto"/>
              <w:jc w:val="right"/>
            </w:pPr>
            <w:r>
              <w:rPr>
                <w:sz w:val="20"/>
              </w:rPr>
              <w:t>0.91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30EB3A9" w14:textId="77777777" w:rsidR="00F9392A" w:rsidRDefault="00F9392A"/>
        </w:tc>
        <w:tc>
          <w:tcPr>
            <w:tcW w:w="1500" w:type="dxa"/>
            <w:gridSpan w:val="2"/>
            <w:tcBorders>
              <w:top w:val="nil"/>
              <w:left w:val="nil"/>
              <w:bottom w:val="nil"/>
              <w:right w:val="nil"/>
            </w:tcBorders>
            <w:shd w:val="clear" w:color="auto" w:fill="CCEEFF"/>
            <w:tcMar>
              <w:top w:w="0" w:type="dxa"/>
              <w:left w:w="0" w:type="dxa"/>
              <w:bottom w:w="0" w:type="dxa"/>
              <w:right w:w="0" w:type="dxa"/>
            </w:tcMar>
            <w:vAlign w:val="bottom"/>
          </w:tcPr>
          <w:p w14:paraId="260F3463" w14:textId="77777777" w:rsidR="00F9392A" w:rsidRDefault="000F0826">
            <w:pPr>
              <w:spacing w:line="200" w:lineRule="auto"/>
              <w:jc w:val="right"/>
            </w:pPr>
            <w:r>
              <w:rPr>
                <w:sz w:val="20"/>
              </w:rPr>
              <w:t>0.91</w:t>
            </w:r>
          </w:p>
        </w:tc>
      </w:tr>
      <w:tr w:rsidR="00F9392A" w14:paraId="0105F495" w14:textId="77777777">
        <w:trPr>
          <w:trHeight w:hRule="exact" w:val="300"/>
          <w:jc w:val="center"/>
        </w:trPr>
        <w:tc>
          <w:tcPr>
            <w:tcW w:w="6990" w:type="dxa"/>
            <w:tcBorders>
              <w:top w:val="nil"/>
              <w:left w:val="nil"/>
              <w:bottom w:val="nil"/>
              <w:right w:val="nil"/>
            </w:tcBorders>
            <w:shd w:val="clear" w:color="auto" w:fill="FFFFFF"/>
            <w:tcMar>
              <w:top w:w="75" w:type="dxa"/>
              <w:left w:w="53" w:type="dxa"/>
              <w:bottom w:w="30" w:type="dxa"/>
              <w:right w:w="53" w:type="dxa"/>
            </w:tcMar>
            <w:vAlign w:val="bottom"/>
          </w:tcPr>
          <w:p w14:paraId="72A5AFC3" w14:textId="77777777" w:rsidR="00F9392A" w:rsidRDefault="000F0826">
            <w:pPr>
              <w:widowControl w:val="0"/>
              <w:spacing w:line="200" w:lineRule="auto"/>
            </w:pPr>
            <w:r>
              <w:rPr>
                <w:sz w:val="20"/>
              </w:rPr>
              <w:t>Lockport total system</w:t>
            </w:r>
            <w:r>
              <w:rPr>
                <w:sz w:val="20"/>
                <w:vertAlign w:val="superscript"/>
              </w:rPr>
              <w:t xml:space="preserve"> (5)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954C12D" w14:textId="77777777" w:rsidR="00F9392A" w:rsidRDefault="00F9392A"/>
        </w:tc>
        <w:tc>
          <w:tcPr>
            <w:tcW w:w="1470" w:type="dxa"/>
            <w:gridSpan w:val="2"/>
            <w:tcBorders>
              <w:top w:val="nil"/>
              <w:left w:val="nil"/>
              <w:bottom w:val="nil"/>
              <w:right w:val="nil"/>
            </w:tcBorders>
            <w:shd w:val="clear" w:color="auto" w:fill="FFFFFF"/>
            <w:tcMar>
              <w:top w:w="0" w:type="dxa"/>
              <w:left w:w="0" w:type="dxa"/>
              <w:bottom w:w="0" w:type="dxa"/>
              <w:right w:w="0" w:type="dxa"/>
            </w:tcMar>
            <w:vAlign w:val="bottom"/>
          </w:tcPr>
          <w:p w14:paraId="2383C692" w14:textId="77777777" w:rsidR="00F9392A" w:rsidRDefault="000F0826">
            <w:pPr>
              <w:spacing w:line="200" w:lineRule="auto"/>
              <w:jc w:val="right"/>
            </w:pPr>
            <w:r>
              <w:rPr>
                <w:sz w:val="20"/>
              </w:rPr>
              <w:t>0.23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165A61C" w14:textId="77777777" w:rsidR="00F9392A" w:rsidRDefault="00F9392A"/>
        </w:tc>
        <w:tc>
          <w:tcPr>
            <w:tcW w:w="1500" w:type="dxa"/>
            <w:gridSpan w:val="2"/>
            <w:tcBorders>
              <w:top w:val="nil"/>
              <w:left w:val="nil"/>
              <w:bottom w:val="nil"/>
              <w:right w:val="nil"/>
            </w:tcBorders>
            <w:shd w:val="clear" w:color="auto" w:fill="FFFFFF"/>
            <w:tcMar>
              <w:top w:w="0" w:type="dxa"/>
              <w:left w:w="0" w:type="dxa"/>
              <w:bottom w:w="0" w:type="dxa"/>
              <w:right w:w="0" w:type="dxa"/>
            </w:tcMar>
            <w:vAlign w:val="bottom"/>
          </w:tcPr>
          <w:p w14:paraId="03A23633" w14:textId="77777777" w:rsidR="00F9392A" w:rsidRDefault="000F0826">
            <w:pPr>
              <w:spacing w:line="200" w:lineRule="auto"/>
              <w:jc w:val="right"/>
            </w:pPr>
            <w:r>
              <w:rPr>
                <w:sz w:val="20"/>
              </w:rPr>
              <w:t>0.22</w:t>
            </w:r>
          </w:p>
        </w:tc>
      </w:tr>
    </w:tbl>
    <w:p w14:paraId="5C84B87E" w14:textId="77777777" w:rsidR="00F9392A" w:rsidRDefault="000F0826">
      <w:pPr>
        <w:spacing w:before="120"/>
        <w:ind w:left="540" w:hanging="260"/>
      </w:pPr>
      <w:r>
        <w:rPr>
          <w:i/>
          <w:color w:val="000000"/>
          <w:sz w:val="18"/>
          <w:vertAlign w:val="superscript"/>
        </w:rPr>
        <w:t xml:space="preserve">(1) </w:t>
      </w:r>
      <w:r>
        <w:rPr>
          <w:i/>
          <w:color w:val="000000"/>
          <w:sz w:val="18"/>
        </w:rPr>
        <w:t>Pipeline throughput is defined as the volume of delivered barrels.</w:t>
      </w:r>
    </w:p>
    <w:p w14:paraId="6AA694BC" w14:textId="77777777" w:rsidR="00F9392A" w:rsidRDefault="000F0826">
      <w:pPr>
        <w:ind w:firstLine="270"/>
      </w:pPr>
      <w:r>
        <w:rPr>
          <w:i/>
          <w:color w:val="000000"/>
          <w:sz w:val="18"/>
          <w:vertAlign w:val="superscript"/>
        </w:rPr>
        <w:t>(2)</w:t>
      </w:r>
      <w:r>
        <w:rPr>
          <w:i/>
          <w:color w:val="000000"/>
          <w:sz w:val="18"/>
        </w:rPr>
        <w:t xml:space="preserve"> </w:t>
      </w:r>
      <w:proofErr w:type="spellStart"/>
      <w:r>
        <w:rPr>
          <w:i/>
          <w:color w:val="000000"/>
          <w:sz w:val="18"/>
        </w:rPr>
        <w:t>Terminaling</w:t>
      </w:r>
      <w:proofErr w:type="spellEnd"/>
      <w:r>
        <w:rPr>
          <w:i/>
          <w:color w:val="000000"/>
          <w:sz w:val="18"/>
        </w:rPr>
        <w:t xml:space="preserve"> throughput is defined as the volume of delivered barrels and storage is defined as the volume of stored barrels.</w:t>
      </w:r>
    </w:p>
    <w:p w14:paraId="13A4E93C" w14:textId="77777777" w:rsidR="00F9392A" w:rsidRDefault="000F0826">
      <w:pPr>
        <w:ind w:left="270"/>
      </w:pPr>
      <w:r>
        <w:rPr>
          <w:i/>
          <w:color w:val="000000"/>
          <w:sz w:val="18"/>
          <w:vertAlign w:val="superscript"/>
        </w:rPr>
        <w:t>(3)</w:t>
      </w:r>
      <w:r>
        <w:rPr>
          <w:i/>
          <w:color w:val="000000"/>
          <w:sz w:val="18"/>
        </w:rPr>
        <w:t xml:space="preserve"> Refinery Gas Pipeline and our refined products terminals are not included above as they generate revenue under transportation </w:t>
      </w:r>
      <w:r>
        <w:rPr>
          <w:i/>
          <w:color w:val="000000"/>
          <w:sz w:val="18"/>
        </w:rPr>
        <w:t xml:space="preserve">and </w:t>
      </w:r>
      <w:proofErr w:type="spellStart"/>
      <w:r>
        <w:rPr>
          <w:i/>
          <w:color w:val="000000"/>
          <w:sz w:val="18"/>
        </w:rPr>
        <w:t>terminaling</w:t>
      </w:r>
      <w:proofErr w:type="spellEnd"/>
      <w:r>
        <w:rPr>
          <w:i/>
          <w:color w:val="000000"/>
          <w:sz w:val="18"/>
        </w:rPr>
        <w:t xml:space="preserve"> service agreements, respectively, that provide for guaranteed minimum throughput. </w:t>
      </w:r>
    </w:p>
    <w:p w14:paraId="38945CB8" w14:textId="77777777" w:rsidR="00F9392A" w:rsidRDefault="000F0826">
      <w:pPr>
        <w:ind w:left="270"/>
      </w:pPr>
      <w:r>
        <w:rPr>
          <w:i/>
          <w:color w:val="000000"/>
          <w:sz w:val="18"/>
          <w:vertAlign w:val="superscript"/>
        </w:rPr>
        <w:t>(4)</w:t>
      </w:r>
      <w:r>
        <w:rPr>
          <w:i/>
          <w:color w:val="000000"/>
          <w:sz w:val="18"/>
        </w:rPr>
        <w:t xml:space="preserve"> Based on reported revenues from transportation and allowance oil divided by delivered barrels over the same time period. Actual tariffs charged are based</w:t>
      </w:r>
      <w:r>
        <w:rPr>
          <w:i/>
          <w:color w:val="000000"/>
          <w:sz w:val="18"/>
        </w:rPr>
        <w:t xml:space="preserve"> on shipping points along the pipeline system, volume and length of contract.  </w:t>
      </w:r>
    </w:p>
    <w:p w14:paraId="2EB5C1FB" w14:textId="77777777" w:rsidR="00F9392A" w:rsidRDefault="000F0826">
      <w:pPr>
        <w:keepNext/>
        <w:ind w:left="270"/>
      </w:pPr>
      <w:r>
        <w:rPr>
          <w:i/>
          <w:color w:val="000000"/>
          <w:sz w:val="18"/>
          <w:vertAlign w:val="superscript"/>
        </w:rPr>
        <w:t>(5)</w:t>
      </w:r>
      <w:r>
        <w:rPr>
          <w:color w:val="000000"/>
          <w:sz w:val="18"/>
        </w:rPr>
        <w:t> </w:t>
      </w:r>
      <w:r>
        <w:rPr>
          <w:i/>
          <w:color w:val="000000"/>
          <w:sz w:val="18"/>
        </w:rPr>
        <w:t xml:space="preserve">Based on reported revenues from transportation and storage divided by delivered and stored barrels over the same time period. Actual rates are based on contract volume and length.  </w:t>
      </w:r>
    </w:p>
    <w:p w14:paraId="0DDF8A6F" w14:textId="77777777" w:rsidR="00F9392A" w:rsidRDefault="00F9392A"/>
    <w:p w14:paraId="53CE8C68" w14:textId="77777777" w:rsidR="00F9392A" w:rsidRDefault="00F9392A">
      <w:pPr>
        <w:sectPr w:rsidR="00F9392A">
          <w:headerReference w:type="default" r:id="rId14"/>
          <w:footerReference w:type="default" r:id="rId15"/>
          <w:pgSz w:w="12240" w:h="15840"/>
          <w:pgMar w:top="900" w:right="1000" w:bottom="900" w:left="720" w:header="270" w:footer="270" w:gutter="0"/>
          <w:cols w:space="720"/>
        </w:sectPr>
      </w:pPr>
    </w:p>
    <w:p w14:paraId="35ED4195" w14:textId="77777777" w:rsidR="00F9392A" w:rsidRDefault="000F0826">
      <w:pPr>
        <w:keepNext/>
        <w:outlineLvl w:val="0"/>
      </w:pPr>
      <w:bookmarkStart w:id="2" w:name="Section3"/>
      <w:bookmarkEnd w:id="2"/>
      <w:r>
        <w:rPr>
          <w:color w:val="000000"/>
          <w:sz w:val="20"/>
          <w:u w:val="single"/>
        </w:rPr>
        <w:t>FORWARD LOOKING STATEMENTS</w:t>
      </w:r>
    </w:p>
    <w:p w14:paraId="69F9B5C3" w14:textId="77777777" w:rsidR="00F9392A" w:rsidRDefault="000F0826">
      <w:pPr>
        <w:spacing w:before="120"/>
      </w:pPr>
      <w:r>
        <w:rPr>
          <w:i/>
          <w:color w:val="000000"/>
          <w:sz w:val="20"/>
        </w:rPr>
        <w:t>This press release includes various “forward-looking statements.” All statements other than statements of historical fact are, or may be deemed to be, forward-looking statements. Forward-looking statements are statements of future expectations that are bas</w:t>
      </w:r>
      <w:r>
        <w:rPr>
          <w:i/>
          <w:color w:val="000000"/>
          <w:sz w:val="20"/>
        </w:rPr>
        <w:t>ed on management’s current expectations and assumptions and involve known and unknown risks and uncertainties that could cause actual results, performance or events to differ materially from those expressed or implied in these statements. Forward-looking s</w:t>
      </w:r>
      <w:r>
        <w:rPr>
          <w:i/>
          <w:color w:val="000000"/>
          <w:sz w:val="20"/>
        </w:rPr>
        <w:t>tatements include, among other things, statements expressing management’s expectations, beliefs, estimates, forecasts, projections and assumptions. You can identify our forward-looking statements by words such as “anticipate”, “believe”, “estimate”, “expec</w:t>
      </w:r>
      <w:r>
        <w:rPr>
          <w:i/>
          <w:color w:val="000000"/>
          <w:sz w:val="20"/>
        </w:rPr>
        <w:t>t”, “forecast”, “goals”, “objectives”, “outlook”, “intend”, “plan”, “predict”, “project”, “risks”, “schedule”, “seek”, “target”, “could”, “may”, “should” or “would” or other similar expressions that convey the uncertainty of future events or outcomes. Thes</w:t>
      </w:r>
      <w:r>
        <w:rPr>
          <w:i/>
          <w:color w:val="000000"/>
          <w:sz w:val="20"/>
        </w:rPr>
        <w:t xml:space="preserve">e statements are accompanied by cautionary language identifying important factors, though not necessarily all such factors, which could cause future outcomes to differ materially from those set forth in forward-looking statements. In particular, expressed </w:t>
      </w:r>
      <w:r>
        <w:rPr>
          <w:i/>
          <w:color w:val="000000"/>
          <w:sz w:val="20"/>
        </w:rPr>
        <w:t>or implied statements concerning future growth, future actions, closing and funding of acquisitions, future drop downs, volumes, capital requirements, conditions or events, future impact of prior acquisitions, future operating results or the ability to gen</w:t>
      </w:r>
      <w:r>
        <w:rPr>
          <w:i/>
          <w:color w:val="000000"/>
          <w:sz w:val="20"/>
        </w:rPr>
        <w:t>erate sales, income or cash flow or the amount of distributions are forward-looking statements. Forward-looking statements are not guarantees of performance. They involve risks, uncertainties and assumptions. Future actions, conditions or events and future</w:t>
      </w:r>
      <w:r>
        <w:rPr>
          <w:i/>
          <w:color w:val="000000"/>
          <w:sz w:val="20"/>
        </w:rPr>
        <w:t xml:space="preserve"> results of operations may differ materially from those expressed in these forward-looking statements. Forward-looking statements speak only as of the date of this press release, August 1, 2019, and we disclaim any obligation to update such statements for </w:t>
      </w:r>
      <w:r>
        <w:rPr>
          <w:i/>
          <w:color w:val="000000"/>
          <w:sz w:val="20"/>
        </w:rPr>
        <w:t>any reason, except as required by law. All forward-looking statements contained in this document are expressly qualified in their entirety by the cautionary statements contained or referred to in this paragraph. Many of the factors that will determine thes</w:t>
      </w:r>
      <w:r>
        <w:rPr>
          <w:i/>
          <w:color w:val="000000"/>
          <w:sz w:val="20"/>
        </w:rPr>
        <w:t>e results are beyond our ability to control or predict. These factors include the risk factors described in Part I, Item 1A. “Risk Factors” in our Annual Report on Form 10-K for the year ended December 31, 2018, as updated by the information in our other f</w:t>
      </w:r>
      <w:r>
        <w:rPr>
          <w:i/>
          <w:color w:val="000000"/>
          <w:sz w:val="20"/>
        </w:rPr>
        <w:t>ilings with the SEC. If any of those risks occur, it could cause our actual results to differ materially from those contained in any forward-looking statement. Because of these risks and uncertainties, you should not place undue reliance on any forward-loo</w:t>
      </w:r>
      <w:r>
        <w:rPr>
          <w:i/>
          <w:color w:val="000000"/>
          <w:sz w:val="20"/>
        </w:rPr>
        <w:t>king statement.</w:t>
      </w:r>
    </w:p>
    <w:p w14:paraId="2BBEE25E" w14:textId="77777777" w:rsidR="00F9392A" w:rsidRDefault="00F9392A"/>
    <w:p w14:paraId="54FEF289" w14:textId="77777777" w:rsidR="00F9392A" w:rsidRDefault="000F0826">
      <w:pPr>
        <w:keepNext/>
      </w:pPr>
      <w:r>
        <w:rPr>
          <w:color w:val="000000"/>
          <w:sz w:val="20"/>
          <w:u w:val="single"/>
        </w:rPr>
        <w:t>NON-GAAP FINANCIAL MEASURES</w:t>
      </w:r>
    </w:p>
    <w:p w14:paraId="53AB490F" w14:textId="77777777" w:rsidR="00F9392A" w:rsidRDefault="000F0826">
      <w:pPr>
        <w:spacing w:before="120"/>
      </w:pPr>
      <w:r>
        <w:rPr>
          <w:i/>
          <w:color w:val="000000"/>
          <w:sz w:val="20"/>
        </w:rPr>
        <w:t>This press release includes the terms Adjusted EBITDA and cash available for distribution. We believe that the presentation of Adjusted EBITDA and cash available for distribution provides useful information to i</w:t>
      </w:r>
      <w:r>
        <w:rPr>
          <w:i/>
          <w:color w:val="000000"/>
          <w:sz w:val="20"/>
        </w:rPr>
        <w:t>nvestors in assessing our financial condition and results of operations. Adjusted EBITDA and cash available for distribution are non-GAAP supplemental financial measures that management and external users of our consolidated financial statements, such as i</w:t>
      </w:r>
      <w:r>
        <w:rPr>
          <w:i/>
          <w:color w:val="000000"/>
          <w:sz w:val="20"/>
        </w:rPr>
        <w:t>ndustry analysts, investors, lenders and rating agencies, may use to assess:</w:t>
      </w:r>
    </w:p>
    <w:p w14:paraId="6D1EB5BD" w14:textId="77777777" w:rsidR="00F9392A" w:rsidRDefault="000F0826" w:rsidP="00773D73">
      <w:pPr>
        <w:numPr>
          <w:ilvl w:val="0"/>
          <w:numId w:val="70"/>
        </w:numPr>
        <w:spacing w:before="120"/>
        <w:ind w:left="860"/>
      </w:pPr>
      <w:r>
        <w:rPr>
          <w:i/>
          <w:color w:val="000000"/>
          <w:sz w:val="20"/>
        </w:rPr>
        <w:t>our operating performance as compared to other publicly traded partnerships in the midstream energy industry, without regard to historical cost basis or, in the case of Adjusted E</w:t>
      </w:r>
      <w:r>
        <w:rPr>
          <w:i/>
          <w:color w:val="000000"/>
          <w:sz w:val="20"/>
        </w:rPr>
        <w:t>BITDA, financing methods;</w:t>
      </w:r>
    </w:p>
    <w:p w14:paraId="4E2F0613" w14:textId="77777777" w:rsidR="00F9392A" w:rsidRDefault="000F0826" w:rsidP="00773D73">
      <w:pPr>
        <w:numPr>
          <w:ilvl w:val="0"/>
          <w:numId w:val="70"/>
        </w:numPr>
        <w:spacing w:before="120"/>
        <w:ind w:left="860"/>
      </w:pPr>
      <w:r>
        <w:rPr>
          <w:i/>
          <w:color w:val="000000"/>
          <w:sz w:val="20"/>
        </w:rPr>
        <w:t>the ability of our business to generate sufficient cash to support our decision to make distributions to our unitholders;</w:t>
      </w:r>
    </w:p>
    <w:p w14:paraId="7D08EED3" w14:textId="77777777" w:rsidR="00F9392A" w:rsidRDefault="000F0826" w:rsidP="00773D73">
      <w:pPr>
        <w:numPr>
          <w:ilvl w:val="0"/>
          <w:numId w:val="70"/>
        </w:numPr>
        <w:spacing w:before="120"/>
        <w:ind w:left="860"/>
      </w:pPr>
      <w:r>
        <w:rPr>
          <w:i/>
          <w:color w:val="000000"/>
          <w:sz w:val="20"/>
        </w:rPr>
        <w:t>our ability to incur and service debt and fund capital expenditures; and</w:t>
      </w:r>
    </w:p>
    <w:p w14:paraId="5ABF1261" w14:textId="77777777" w:rsidR="00F9392A" w:rsidRDefault="000F0826" w:rsidP="00773D73">
      <w:pPr>
        <w:numPr>
          <w:ilvl w:val="0"/>
          <w:numId w:val="70"/>
        </w:numPr>
        <w:spacing w:before="120"/>
        <w:ind w:left="860"/>
      </w:pPr>
      <w:r>
        <w:rPr>
          <w:i/>
          <w:color w:val="000000"/>
          <w:sz w:val="20"/>
        </w:rPr>
        <w:t>the viability of acquisitions and o</w:t>
      </w:r>
      <w:r>
        <w:rPr>
          <w:i/>
          <w:color w:val="000000"/>
          <w:sz w:val="20"/>
        </w:rPr>
        <w:t>ther capital expenditure projects and the returns on investment of various investment opportunities.</w:t>
      </w:r>
    </w:p>
    <w:p w14:paraId="6F310BA5" w14:textId="77777777" w:rsidR="00F9392A" w:rsidRDefault="000F0826">
      <w:pPr>
        <w:spacing w:before="240"/>
      </w:pPr>
      <w:r>
        <w:rPr>
          <w:i/>
          <w:color w:val="000000"/>
          <w:sz w:val="20"/>
        </w:rPr>
        <w:t>The GAAP measures most directly comparable to Adjusted EBITDA and cash available for distribution are net income and net cash provided by operating activit</w:t>
      </w:r>
      <w:r>
        <w:rPr>
          <w:i/>
          <w:color w:val="000000"/>
          <w:sz w:val="20"/>
        </w:rPr>
        <w:t>ies. These non-GAAP measures should not be considered as alternatives to GAAP net income or net cash provided by operating activities. Adjusted EBITDA and cash available for distribution have important limitations as analytical tools because they exclude s</w:t>
      </w:r>
      <w:r>
        <w:rPr>
          <w:i/>
          <w:color w:val="000000"/>
          <w:sz w:val="20"/>
        </w:rPr>
        <w:t>ome but not all items that affect net income and net cash provided by operating activities. They should not be considered in isolation or as substitutes for analysis of our results as reported under GAAP. Additionally, because Adjusted EBITDA and cash avai</w:t>
      </w:r>
      <w:r>
        <w:rPr>
          <w:i/>
          <w:color w:val="000000"/>
          <w:sz w:val="20"/>
        </w:rPr>
        <w:t>lable for distribution may be defined differently by other companies in our industry, our definition of Adjusted EBITDA and cash available for distribution may not be comparable to similarly titled measures of other companies, thereby diminishing their uti</w:t>
      </w:r>
      <w:r>
        <w:rPr>
          <w:i/>
          <w:color w:val="000000"/>
          <w:sz w:val="20"/>
        </w:rPr>
        <w:t>lity.</w:t>
      </w:r>
    </w:p>
    <w:p w14:paraId="4798B52C" w14:textId="77777777" w:rsidR="00F9392A" w:rsidRDefault="000F0826">
      <w:pPr>
        <w:spacing w:before="240"/>
      </w:pPr>
      <w:r>
        <w:rPr>
          <w:i/>
          <w:color w:val="000000"/>
          <w:sz w:val="20"/>
        </w:rPr>
        <w:t>References in this press release to Adjusted EBITDA refer to net income before income taxes, net interest expense, gain or loss from disposition of fixed assets, allowance oil reduction to net realizable value, and depreciation, amortization and accr</w:t>
      </w:r>
      <w:r>
        <w:rPr>
          <w:i/>
          <w:color w:val="000000"/>
          <w:sz w:val="20"/>
        </w:rPr>
        <w:t xml:space="preserve">etion, </w:t>
      </w:r>
      <w:r>
        <w:rPr>
          <w:i/>
          <w:color w:val="000000"/>
          <w:sz w:val="20"/>
          <w:u w:val="single"/>
        </w:rPr>
        <w:t>plus</w:t>
      </w:r>
      <w:r>
        <w:rPr>
          <w:i/>
          <w:color w:val="000000"/>
          <w:sz w:val="20"/>
        </w:rPr>
        <w:t xml:space="preserve"> cash distributed to Shell Midstream Partners, L.P. from equity method investments for the applicable period, </w:t>
      </w:r>
      <w:r>
        <w:rPr>
          <w:i/>
          <w:color w:val="000000"/>
          <w:sz w:val="20"/>
          <w:u w:val="single"/>
        </w:rPr>
        <w:t>less</w:t>
      </w:r>
      <w:r>
        <w:rPr>
          <w:i/>
          <w:color w:val="000000"/>
          <w:sz w:val="20"/>
        </w:rPr>
        <w:t xml:space="preserve"> equity method distributions included in other income and income from equity method investments. We define Adjusted EBITDA attribut</w:t>
      </w:r>
      <w:r>
        <w:rPr>
          <w:i/>
          <w:color w:val="000000"/>
          <w:sz w:val="20"/>
        </w:rPr>
        <w:t xml:space="preserve">able to Shell Midstream Partners, L.P. as Adjusted EBITDA </w:t>
      </w:r>
      <w:r>
        <w:rPr>
          <w:i/>
          <w:color w:val="000000"/>
          <w:sz w:val="20"/>
          <w:u w:val="single"/>
        </w:rPr>
        <w:t>less</w:t>
      </w:r>
      <w:r>
        <w:rPr>
          <w:i/>
          <w:color w:val="000000"/>
          <w:sz w:val="20"/>
        </w:rPr>
        <w:t xml:space="preserve"> Adjusted EBITDA attributable to noncontrolling interests and Adjusted EBITDA attributable to Parent. References to cash available for distribution refer to Adjusted EBITDA attributable to Shell</w:t>
      </w:r>
      <w:r>
        <w:rPr>
          <w:i/>
          <w:color w:val="000000"/>
          <w:sz w:val="20"/>
        </w:rPr>
        <w:t xml:space="preserve"> Midstream Partners, L.P., </w:t>
      </w:r>
      <w:r>
        <w:rPr>
          <w:i/>
          <w:color w:val="000000"/>
          <w:sz w:val="20"/>
          <w:u w:val="single"/>
        </w:rPr>
        <w:t>less</w:t>
      </w:r>
      <w:r>
        <w:rPr>
          <w:i/>
          <w:color w:val="000000"/>
          <w:sz w:val="20"/>
        </w:rPr>
        <w:t xml:space="preserve"> maintenance capital expenditures attributable to Shell Midstream Partners, L.P., net interest paid, cash reserves and income taxes paid, </w:t>
      </w:r>
      <w:r>
        <w:rPr>
          <w:i/>
          <w:color w:val="000000"/>
          <w:sz w:val="20"/>
          <w:u w:val="single"/>
        </w:rPr>
        <w:t>plus</w:t>
      </w:r>
      <w:r>
        <w:rPr>
          <w:i/>
          <w:color w:val="000000"/>
          <w:sz w:val="20"/>
        </w:rPr>
        <w:t xml:space="preserve"> net adjustments from volume deficiency payments attributable to Shell Midstream Pa</w:t>
      </w:r>
      <w:r>
        <w:rPr>
          <w:i/>
          <w:color w:val="000000"/>
          <w:sz w:val="20"/>
        </w:rPr>
        <w:t>rtners, L.P., reimbursements from Parent included in partners' capital and certain one-time payments not reflected in net income. Cash available for distribution will not reflect changes in working capital balances.</w:t>
      </w:r>
    </w:p>
    <w:p w14:paraId="486B391E" w14:textId="77777777" w:rsidR="00F9392A" w:rsidRDefault="000F0826">
      <w:pPr>
        <w:spacing w:before="240"/>
      </w:pPr>
      <w:r>
        <w:rPr>
          <w:color w:val="000000"/>
          <w:sz w:val="16"/>
        </w:rPr>
        <w:t>August 1, 2019</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F9392A" w14:paraId="100CFA5C" w14:textId="77777777">
        <w:trPr>
          <w:trHeight w:hRule="exact" w:val="345"/>
        </w:trPr>
        <w:tc>
          <w:tcPr>
            <w:tcW w:w="10800" w:type="dxa"/>
            <w:tcBorders>
              <w:top w:val="single" w:sz="16" w:space="0" w:color="000000"/>
              <w:left w:val="nil"/>
              <w:bottom w:val="single" w:sz="16" w:space="0" w:color="000000"/>
              <w:right w:val="nil"/>
            </w:tcBorders>
            <w:shd w:val="clear" w:color="auto" w:fill="auto"/>
            <w:tcMar>
              <w:top w:w="35" w:type="dxa"/>
              <w:left w:w="53" w:type="dxa"/>
              <w:bottom w:w="30" w:type="dxa"/>
              <w:right w:w="53" w:type="dxa"/>
            </w:tcMar>
            <w:vAlign w:val="bottom"/>
          </w:tcPr>
          <w:p w14:paraId="547B0F76" w14:textId="77777777" w:rsidR="00F9392A" w:rsidRDefault="000F0826">
            <w:pPr>
              <w:spacing w:line="200" w:lineRule="auto"/>
            </w:pPr>
            <w:r>
              <w:rPr>
                <w:sz w:val="18"/>
              </w:rPr>
              <w:t>The information in this R</w:t>
            </w:r>
            <w:r>
              <w:rPr>
                <w:sz w:val="18"/>
              </w:rPr>
              <w:t xml:space="preserve">eport reflects the unaudited condensed consolidated financial position and results of Shell Midstream Partners, L.P.  </w:t>
            </w:r>
          </w:p>
        </w:tc>
      </w:tr>
    </w:tbl>
    <w:p w14:paraId="5CED62C1" w14:textId="77777777" w:rsidR="00F9392A" w:rsidRDefault="00F9392A">
      <w:pPr>
        <w:spacing w:before="120"/>
      </w:pPr>
    </w:p>
    <w:p w14:paraId="19F25CF5" w14:textId="77777777" w:rsidR="00F9392A" w:rsidRDefault="00F9392A"/>
    <w:p w14:paraId="01E4EA7D" w14:textId="77777777" w:rsidR="00F9392A" w:rsidRDefault="000F0826">
      <w:pPr>
        <w:ind w:right="340"/>
      </w:pPr>
      <w:r>
        <w:rPr>
          <w:color w:val="000000"/>
          <w:sz w:val="18"/>
        </w:rPr>
        <w:t xml:space="preserve">Inquiries: </w:t>
      </w:r>
    </w:p>
    <w:p w14:paraId="46047BD3" w14:textId="77777777" w:rsidR="00F9392A" w:rsidRDefault="000F0826">
      <w:pPr>
        <w:ind w:right="340"/>
      </w:pPr>
      <w:r>
        <w:rPr>
          <w:color w:val="000000"/>
          <w:sz w:val="18"/>
        </w:rPr>
        <w:t>Shell Media Relations</w:t>
      </w:r>
    </w:p>
    <w:p w14:paraId="350F3342" w14:textId="77777777" w:rsidR="00F9392A" w:rsidRDefault="000F0826">
      <w:pPr>
        <w:ind w:right="340"/>
      </w:pPr>
      <w:r>
        <w:rPr>
          <w:color w:val="000000"/>
          <w:sz w:val="18"/>
        </w:rPr>
        <w:t>Americas: +1 832 337 4355</w:t>
      </w:r>
    </w:p>
    <w:p w14:paraId="232E4125" w14:textId="77777777" w:rsidR="00F9392A" w:rsidRDefault="000F0826">
      <w:pPr>
        <w:spacing w:before="240"/>
        <w:ind w:right="340"/>
      </w:pPr>
      <w:r>
        <w:rPr>
          <w:color w:val="000000"/>
          <w:sz w:val="18"/>
        </w:rPr>
        <w:t>Shell Investor Relations</w:t>
      </w:r>
    </w:p>
    <w:p w14:paraId="4085FDEF" w14:textId="77777777" w:rsidR="00F9392A" w:rsidRDefault="000F0826">
      <w:pPr>
        <w:ind w:right="340"/>
      </w:pPr>
      <w:r>
        <w:rPr>
          <w:color w:val="000000"/>
          <w:sz w:val="18"/>
        </w:rPr>
        <w:t>North America: +1 832 337 2034</w:t>
      </w:r>
    </w:p>
    <w:p w14:paraId="6F6B9D54" w14:textId="77777777" w:rsidR="00F9392A" w:rsidRDefault="00F9392A">
      <w:pPr>
        <w:ind w:right="340"/>
      </w:pPr>
    </w:p>
    <w:p w14:paraId="0E7F81C0" w14:textId="77777777" w:rsidR="00F9392A" w:rsidRDefault="000F0826">
      <w:pPr>
        <w:ind w:right="340"/>
      </w:pPr>
      <w:r>
        <w:rPr>
          <w:color w:val="000000"/>
          <w:sz w:val="18"/>
        </w:rPr>
        <w:t xml:space="preserve">SHELL and the </w:t>
      </w:r>
      <w:r>
        <w:rPr>
          <w:color w:val="000000"/>
          <w:sz w:val="18"/>
        </w:rPr>
        <w:t>SHELL Pecten are registered trademarks of Shell Trademark Management, B.V. used under license.</w:t>
      </w:r>
    </w:p>
    <w:sectPr w:rsidR="00F9392A">
      <w:headerReference w:type="default" r:id="rId16"/>
      <w:footerReference w:type="default" r:id="rId17"/>
      <w:pgSz w:w="12240" w:h="15840"/>
      <w:pgMar w:top="580" w:right="720" w:bottom="580" w:left="720" w:header="270" w:footer="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427DC" w14:textId="77777777" w:rsidR="000F0826" w:rsidRDefault="000F0826">
      <w:r>
        <w:separator/>
      </w:r>
    </w:p>
  </w:endnote>
  <w:endnote w:type="continuationSeparator" w:id="0">
    <w:p w14:paraId="25A3AA3A" w14:textId="77777777" w:rsidR="000F0826" w:rsidRDefault="000F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AC504" w14:textId="77777777" w:rsidR="00F9392A" w:rsidRDefault="00F939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837C2" w14:textId="77777777" w:rsidR="00F9392A" w:rsidRDefault="00F9392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51FA6" w14:textId="77777777" w:rsidR="00F9392A" w:rsidRDefault="00F939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9395D" w14:textId="77777777" w:rsidR="000F0826" w:rsidRDefault="000F0826">
      <w:r>
        <w:separator/>
      </w:r>
    </w:p>
  </w:footnote>
  <w:footnote w:type="continuationSeparator" w:id="0">
    <w:p w14:paraId="73B6C5A3" w14:textId="77777777" w:rsidR="000F0826" w:rsidRDefault="000F0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B6E4B" w14:textId="77777777" w:rsidR="00F9392A" w:rsidRDefault="00F939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0E686" w14:textId="77777777" w:rsidR="00F9392A" w:rsidRDefault="00F9392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E0FC0" w14:textId="77777777" w:rsidR="00F9392A" w:rsidRDefault="00F939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styleLink w:val="wklist1"/>
    <w:lvl w:ilvl="0">
      <w:start w:val="1"/>
      <w:numFmt w:val="decimal"/>
      <w:lvlText w:val="•"/>
      <w:lvlJc w:val="left"/>
      <w:pPr>
        <w:tabs>
          <w:tab w:val="num" w:pos="36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15:restartNumberingAfterBreak="0">
    <w:nsid w:val="00000003"/>
    <w:multiLevelType w:val="multilevel"/>
    <w:tmpl w:val="00000003"/>
    <w:styleLink w:val="wklist2"/>
    <w:lvl w:ilvl="0">
      <w:start w:val="1"/>
      <w:numFmt w:val="decimal"/>
      <w:lvlText w:val="•"/>
      <w:lvlJc w:val="left"/>
      <w:pPr>
        <w:tabs>
          <w:tab w:val="num" w:pos="36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 w15:restartNumberingAfterBreak="0">
    <w:nsid w:val="00000005"/>
    <w:multiLevelType w:val="multilevel"/>
    <w:tmpl w:val="00000005"/>
    <w:styleLink w:val="wklist3"/>
    <w:lvl w:ilvl="0">
      <w:start w:val="1"/>
      <w:numFmt w:val="decimal"/>
      <w:lvlText w:val="•"/>
      <w:lvlJc w:val="left"/>
      <w:pPr>
        <w:tabs>
          <w:tab w:val="num" w:pos="36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 w15:restartNumberingAfterBreak="0">
    <w:nsid w:val="00000007"/>
    <w:multiLevelType w:val="multilevel"/>
    <w:tmpl w:val="00000007"/>
    <w:styleLink w:val="wklist4"/>
    <w:lvl w:ilvl="0">
      <w:start w:val="1"/>
      <w:numFmt w:val="decimal"/>
      <w:lvlText w:val="•"/>
      <w:lvlJc w:val="left"/>
      <w:pPr>
        <w:tabs>
          <w:tab w:val="num" w:pos="36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 w15:restartNumberingAfterBreak="0">
    <w:nsid w:val="00000009"/>
    <w:multiLevelType w:val="multilevel"/>
    <w:tmpl w:val="00000009"/>
    <w:styleLink w:val="wklist5"/>
    <w:lvl w:ilvl="0">
      <w:start w:val="1"/>
      <w:numFmt w:val="decimal"/>
      <w:lvlText w:val="•"/>
      <w:lvlJc w:val="left"/>
      <w:pPr>
        <w:tabs>
          <w:tab w:val="num" w:pos="36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 w15:restartNumberingAfterBreak="0">
    <w:nsid w:val="0000000A"/>
    <w:multiLevelType w:val="multilevel"/>
    <w:tmpl w:val="00000009"/>
    <w:numStyleLink w:val="wklist5"/>
  </w:abstractNum>
  <w:abstractNum w:abstractNumId="6" w15:restartNumberingAfterBreak="0">
    <w:nsid w:val="0000000B"/>
    <w:multiLevelType w:val="multilevel"/>
    <w:tmpl w:val="0000000B"/>
    <w:styleLink w:val="wklist6"/>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7" w15:restartNumberingAfterBreak="0">
    <w:nsid w:val="0000000D"/>
    <w:multiLevelType w:val="multilevel"/>
    <w:tmpl w:val="0000000D"/>
    <w:styleLink w:val="wklist7"/>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8" w15:restartNumberingAfterBreak="0">
    <w:nsid w:val="0000000F"/>
    <w:multiLevelType w:val="multilevel"/>
    <w:tmpl w:val="0000000F"/>
    <w:styleLink w:val="wklist8"/>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9" w15:restartNumberingAfterBreak="0">
    <w:nsid w:val="00000011"/>
    <w:multiLevelType w:val="multilevel"/>
    <w:tmpl w:val="00000011"/>
    <w:styleLink w:val="wklist9"/>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0" w15:restartNumberingAfterBreak="0">
    <w:nsid w:val="00000013"/>
    <w:multiLevelType w:val="multilevel"/>
    <w:tmpl w:val="00000013"/>
    <w:styleLink w:val="wklist10"/>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1" w15:restartNumberingAfterBreak="0">
    <w:nsid w:val="00000015"/>
    <w:multiLevelType w:val="multilevel"/>
    <w:tmpl w:val="00000015"/>
    <w:styleLink w:val="wklist11"/>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2" w15:restartNumberingAfterBreak="0">
    <w:nsid w:val="00000017"/>
    <w:multiLevelType w:val="multilevel"/>
    <w:tmpl w:val="00000017"/>
    <w:styleLink w:val="wklist12"/>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3" w15:restartNumberingAfterBreak="0">
    <w:nsid w:val="00000019"/>
    <w:multiLevelType w:val="multilevel"/>
    <w:tmpl w:val="00000019"/>
    <w:styleLink w:val="wklist13"/>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4" w15:restartNumberingAfterBreak="0">
    <w:nsid w:val="0000001B"/>
    <w:multiLevelType w:val="multilevel"/>
    <w:tmpl w:val="0000001B"/>
    <w:styleLink w:val="wklist14"/>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5" w15:restartNumberingAfterBreak="0">
    <w:nsid w:val="0000001D"/>
    <w:multiLevelType w:val="multilevel"/>
    <w:tmpl w:val="0000001D"/>
    <w:styleLink w:val="wklist15"/>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6" w15:restartNumberingAfterBreak="0">
    <w:nsid w:val="0000001F"/>
    <w:multiLevelType w:val="multilevel"/>
    <w:tmpl w:val="0000001F"/>
    <w:styleLink w:val="wklist16"/>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7" w15:restartNumberingAfterBreak="0">
    <w:nsid w:val="00000021"/>
    <w:multiLevelType w:val="multilevel"/>
    <w:tmpl w:val="00000021"/>
    <w:styleLink w:val="wklist17"/>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8" w15:restartNumberingAfterBreak="0">
    <w:nsid w:val="00000023"/>
    <w:multiLevelType w:val="multilevel"/>
    <w:tmpl w:val="00000023"/>
    <w:styleLink w:val="wklist18"/>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9" w15:restartNumberingAfterBreak="0">
    <w:nsid w:val="00000025"/>
    <w:multiLevelType w:val="multilevel"/>
    <w:tmpl w:val="00000025"/>
    <w:styleLink w:val="wklist19"/>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0" w15:restartNumberingAfterBreak="0">
    <w:nsid w:val="00000027"/>
    <w:multiLevelType w:val="multilevel"/>
    <w:tmpl w:val="00000027"/>
    <w:styleLink w:val="wklist20"/>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1" w15:restartNumberingAfterBreak="0">
    <w:nsid w:val="00000029"/>
    <w:multiLevelType w:val="multilevel"/>
    <w:tmpl w:val="00000029"/>
    <w:styleLink w:val="wklist21"/>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2" w15:restartNumberingAfterBreak="0">
    <w:nsid w:val="0000002B"/>
    <w:multiLevelType w:val="multilevel"/>
    <w:tmpl w:val="0000002B"/>
    <w:styleLink w:val="wklist22"/>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3" w15:restartNumberingAfterBreak="0">
    <w:nsid w:val="0000002D"/>
    <w:multiLevelType w:val="multilevel"/>
    <w:tmpl w:val="0000002D"/>
    <w:styleLink w:val="wklist23"/>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4" w15:restartNumberingAfterBreak="0">
    <w:nsid w:val="0000002F"/>
    <w:multiLevelType w:val="multilevel"/>
    <w:tmpl w:val="0000002F"/>
    <w:styleLink w:val="wklist24"/>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5" w15:restartNumberingAfterBreak="0">
    <w:nsid w:val="00000031"/>
    <w:multiLevelType w:val="multilevel"/>
    <w:tmpl w:val="00000031"/>
    <w:styleLink w:val="wklist25"/>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6" w15:restartNumberingAfterBreak="0">
    <w:nsid w:val="00000033"/>
    <w:multiLevelType w:val="multilevel"/>
    <w:tmpl w:val="00000033"/>
    <w:styleLink w:val="wklist26"/>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7" w15:restartNumberingAfterBreak="0">
    <w:nsid w:val="00000035"/>
    <w:multiLevelType w:val="multilevel"/>
    <w:tmpl w:val="00000035"/>
    <w:styleLink w:val="wklist27"/>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8" w15:restartNumberingAfterBreak="0">
    <w:nsid w:val="00000037"/>
    <w:multiLevelType w:val="multilevel"/>
    <w:tmpl w:val="00000037"/>
    <w:styleLink w:val="wklist28"/>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9" w15:restartNumberingAfterBreak="0">
    <w:nsid w:val="00000039"/>
    <w:multiLevelType w:val="multilevel"/>
    <w:tmpl w:val="00000039"/>
    <w:styleLink w:val="wklist29"/>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0" w15:restartNumberingAfterBreak="0">
    <w:nsid w:val="0000003B"/>
    <w:multiLevelType w:val="multilevel"/>
    <w:tmpl w:val="0000003B"/>
    <w:styleLink w:val="wklist30"/>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1" w15:restartNumberingAfterBreak="0">
    <w:nsid w:val="0000003C"/>
    <w:multiLevelType w:val="multilevel"/>
    <w:tmpl w:val="0000003B"/>
    <w:numStyleLink w:val="wklist30"/>
  </w:abstractNum>
  <w:abstractNum w:abstractNumId="32" w15:restartNumberingAfterBreak="0">
    <w:nsid w:val="0000003D"/>
    <w:multiLevelType w:val="multilevel"/>
    <w:tmpl w:val="0000003D"/>
    <w:styleLink w:val="wklist31"/>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3" w15:restartNumberingAfterBreak="0">
    <w:nsid w:val="0000003F"/>
    <w:multiLevelType w:val="multilevel"/>
    <w:tmpl w:val="0000003F"/>
    <w:styleLink w:val="wklist32"/>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4" w15:restartNumberingAfterBreak="0">
    <w:nsid w:val="00000041"/>
    <w:multiLevelType w:val="multilevel"/>
    <w:tmpl w:val="00000041"/>
    <w:styleLink w:val="wklist33"/>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5" w15:restartNumberingAfterBreak="0">
    <w:nsid w:val="00000043"/>
    <w:multiLevelType w:val="multilevel"/>
    <w:tmpl w:val="00000043"/>
    <w:styleLink w:val="wklist34"/>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6" w15:restartNumberingAfterBreak="0">
    <w:nsid w:val="00000045"/>
    <w:multiLevelType w:val="multilevel"/>
    <w:tmpl w:val="00000045"/>
    <w:styleLink w:val="wklist35"/>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7" w15:restartNumberingAfterBreak="0">
    <w:nsid w:val="00000047"/>
    <w:multiLevelType w:val="multilevel"/>
    <w:tmpl w:val="00000047"/>
    <w:styleLink w:val="wklist36"/>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8" w15:restartNumberingAfterBreak="0">
    <w:nsid w:val="00000049"/>
    <w:multiLevelType w:val="multilevel"/>
    <w:tmpl w:val="00000049"/>
    <w:styleLink w:val="wklist37"/>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9" w15:restartNumberingAfterBreak="0">
    <w:nsid w:val="0000004B"/>
    <w:multiLevelType w:val="multilevel"/>
    <w:tmpl w:val="0000004B"/>
    <w:styleLink w:val="wklist38"/>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0" w15:restartNumberingAfterBreak="0">
    <w:nsid w:val="0000004D"/>
    <w:multiLevelType w:val="multilevel"/>
    <w:tmpl w:val="0000004D"/>
    <w:styleLink w:val="wklist39"/>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1" w15:restartNumberingAfterBreak="0">
    <w:nsid w:val="0000004F"/>
    <w:multiLevelType w:val="multilevel"/>
    <w:tmpl w:val="0000004F"/>
    <w:styleLink w:val="wklist40"/>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2" w15:restartNumberingAfterBreak="0">
    <w:nsid w:val="00000051"/>
    <w:multiLevelType w:val="multilevel"/>
    <w:tmpl w:val="00000051"/>
    <w:styleLink w:val="wklist41"/>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3" w15:restartNumberingAfterBreak="0">
    <w:nsid w:val="00000053"/>
    <w:multiLevelType w:val="multilevel"/>
    <w:tmpl w:val="00000053"/>
    <w:styleLink w:val="wklist42"/>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4" w15:restartNumberingAfterBreak="0">
    <w:nsid w:val="00000055"/>
    <w:multiLevelType w:val="multilevel"/>
    <w:tmpl w:val="00000055"/>
    <w:styleLink w:val="wklist43"/>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5" w15:restartNumberingAfterBreak="0">
    <w:nsid w:val="00000057"/>
    <w:multiLevelType w:val="multilevel"/>
    <w:tmpl w:val="00000057"/>
    <w:styleLink w:val="wklist44"/>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6" w15:restartNumberingAfterBreak="0">
    <w:nsid w:val="00000059"/>
    <w:multiLevelType w:val="multilevel"/>
    <w:tmpl w:val="00000059"/>
    <w:styleLink w:val="wklist45"/>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7" w15:restartNumberingAfterBreak="0">
    <w:nsid w:val="0000005B"/>
    <w:multiLevelType w:val="multilevel"/>
    <w:tmpl w:val="0000005B"/>
    <w:styleLink w:val="wklist46"/>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8" w15:restartNumberingAfterBreak="0">
    <w:nsid w:val="0000005D"/>
    <w:multiLevelType w:val="multilevel"/>
    <w:tmpl w:val="0000005D"/>
    <w:styleLink w:val="wklist47"/>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9" w15:restartNumberingAfterBreak="0">
    <w:nsid w:val="0000005F"/>
    <w:multiLevelType w:val="multilevel"/>
    <w:tmpl w:val="0000005F"/>
    <w:styleLink w:val="wklist48"/>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0" w15:restartNumberingAfterBreak="0">
    <w:nsid w:val="00000061"/>
    <w:multiLevelType w:val="multilevel"/>
    <w:tmpl w:val="00000061"/>
    <w:styleLink w:val="wklist49"/>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1" w15:restartNumberingAfterBreak="0">
    <w:nsid w:val="00000063"/>
    <w:multiLevelType w:val="multilevel"/>
    <w:tmpl w:val="00000063"/>
    <w:styleLink w:val="wklist50"/>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2" w15:restartNumberingAfterBreak="0">
    <w:nsid w:val="00000065"/>
    <w:multiLevelType w:val="multilevel"/>
    <w:tmpl w:val="00000065"/>
    <w:styleLink w:val="wklist51"/>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3" w15:restartNumberingAfterBreak="0">
    <w:nsid w:val="00000067"/>
    <w:multiLevelType w:val="multilevel"/>
    <w:tmpl w:val="00000067"/>
    <w:styleLink w:val="wklist52"/>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4" w15:restartNumberingAfterBreak="0">
    <w:nsid w:val="00000069"/>
    <w:multiLevelType w:val="multilevel"/>
    <w:tmpl w:val="00000069"/>
    <w:styleLink w:val="wklist53"/>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5" w15:restartNumberingAfterBreak="0">
    <w:nsid w:val="0000006A"/>
    <w:multiLevelType w:val="multilevel"/>
    <w:tmpl w:val="00000069"/>
    <w:numStyleLink w:val="wklist53"/>
  </w:abstractNum>
  <w:abstractNum w:abstractNumId="56" w15:restartNumberingAfterBreak="0">
    <w:nsid w:val="0000006B"/>
    <w:multiLevelType w:val="multilevel"/>
    <w:tmpl w:val="0000006B"/>
    <w:styleLink w:val="wklist54"/>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7" w15:restartNumberingAfterBreak="0">
    <w:nsid w:val="0000006D"/>
    <w:multiLevelType w:val="multilevel"/>
    <w:tmpl w:val="0000006D"/>
    <w:styleLink w:val="wklist55"/>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8" w15:restartNumberingAfterBreak="0">
    <w:nsid w:val="0000006F"/>
    <w:multiLevelType w:val="multilevel"/>
    <w:tmpl w:val="0000006F"/>
    <w:styleLink w:val="wklist56"/>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9" w15:restartNumberingAfterBreak="0">
    <w:nsid w:val="00000071"/>
    <w:multiLevelType w:val="multilevel"/>
    <w:tmpl w:val="00000071"/>
    <w:styleLink w:val="wklist57"/>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0" w15:restartNumberingAfterBreak="0">
    <w:nsid w:val="00000073"/>
    <w:multiLevelType w:val="multilevel"/>
    <w:tmpl w:val="00000073"/>
    <w:styleLink w:val="wklist58"/>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1" w15:restartNumberingAfterBreak="0">
    <w:nsid w:val="00000075"/>
    <w:multiLevelType w:val="multilevel"/>
    <w:tmpl w:val="00000075"/>
    <w:styleLink w:val="wklist59"/>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2" w15:restartNumberingAfterBreak="0">
    <w:nsid w:val="00000077"/>
    <w:multiLevelType w:val="multilevel"/>
    <w:tmpl w:val="00000077"/>
    <w:styleLink w:val="wklist60"/>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3" w15:restartNumberingAfterBreak="0">
    <w:nsid w:val="00000079"/>
    <w:multiLevelType w:val="multilevel"/>
    <w:tmpl w:val="00000079"/>
    <w:styleLink w:val="wklist61"/>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4" w15:restartNumberingAfterBreak="0">
    <w:nsid w:val="0000007B"/>
    <w:multiLevelType w:val="multilevel"/>
    <w:tmpl w:val="0000007B"/>
    <w:styleLink w:val="wklist62"/>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5" w15:restartNumberingAfterBreak="0">
    <w:nsid w:val="0000007D"/>
    <w:multiLevelType w:val="multilevel"/>
    <w:tmpl w:val="0000007D"/>
    <w:styleLink w:val="wklist63"/>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6" w15:restartNumberingAfterBreak="0">
    <w:nsid w:val="0000007F"/>
    <w:multiLevelType w:val="multilevel"/>
    <w:tmpl w:val="0000007F"/>
    <w:styleLink w:val="wklist64"/>
    <w:lvl w:ilvl="0">
      <w:start w:val="1"/>
      <w:numFmt w:val="decimal"/>
      <w:lvlText w:val="•"/>
      <w:lvlJc w:val="left"/>
      <w:pPr>
        <w:tabs>
          <w:tab w:val="num" w:pos="720"/>
        </w:tabs>
        <w:ind w:left="720" w:hanging="360"/>
      </w:pPr>
    </w:lvl>
    <w:lvl w:ilvl="1">
      <w:start w:val="1"/>
      <w:numFmt w:val="lowerLetter"/>
      <w:lvlText w:val="◦"/>
      <w:lvlJc w:val="left"/>
      <w:pPr>
        <w:tabs>
          <w:tab w:val="num" w:pos="1080"/>
        </w:tabs>
        <w:ind w:left="1440" w:hanging="360"/>
      </w:pPr>
      <w:rPr>
        <w:rFonts w:ascii="Times New Roman" w:eastAsia="Times New Roman" w:hAnsi="Times New Roman" w:cs="Times New Roman"/>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7" w15:restartNumberingAfterBreak="0">
    <w:nsid w:val="00000080"/>
    <w:multiLevelType w:val="multilevel"/>
    <w:tmpl w:val="0000007F"/>
    <w:numStyleLink w:val="wklist64"/>
  </w:abstractNum>
  <w:abstractNum w:abstractNumId="68" w15:restartNumberingAfterBreak="0">
    <w:nsid w:val="00000081"/>
    <w:multiLevelType w:val="multilevel"/>
    <w:tmpl w:val="00000081"/>
    <w:styleLink w:val="wklist65"/>
    <w:lvl w:ilvl="0">
      <w:start w:val="1"/>
      <w:numFmt w:val="decimal"/>
      <w:lvlText w:val="•"/>
      <w:lvlJc w:val="left"/>
      <w:pPr>
        <w:tabs>
          <w:tab w:val="num" w:pos="86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9" w15:restartNumberingAfterBreak="0">
    <w:nsid w:val="00000082"/>
    <w:multiLevelType w:val="multilevel"/>
    <w:tmpl w:val="00000081"/>
    <w:numStyleLink w:val="wklist65"/>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522E"/>
    <w:rsid w:val="000F0826"/>
    <w:rsid w:val="00773D73"/>
    <w:rsid w:val="00A77B3E"/>
    <w:rsid w:val="00CA2A55"/>
    <w:rsid w:val="00F9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76A5A"/>
  <w15:docId w15:val="{E1BA37EF-D3A2-431B-90E2-D81776F1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klist1">
    <w:name w:val="wk_list_1"/>
    <w:pPr>
      <w:numPr>
        <w:numId w:val="1"/>
      </w:numPr>
    </w:pPr>
  </w:style>
  <w:style w:type="numbering" w:customStyle="1" w:styleId="wklist2">
    <w:name w:val="wk_list_2"/>
    <w:pPr>
      <w:numPr>
        <w:numId w:val="2"/>
      </w:numPr>
    </w:pPr>
  </w:style>
  <w:style w:type="numbering" w:customStyle="1" w:styleId="wklist3">
    <w:name w:val="wk_list_3"/>
    <w:pPr>
      <w:numPr>
        <w:numId w:val="3"/>
      </w:numPr>
    </w:pPr>
  </w:style>
  <w:style w:type="numbering" w:customStyle="1" w:styleId="wklist4">
    <w:name w:val="wk_list_4"/>
    <w:pPr>
      <w:numPr>
        <w:numId w:val="4"/>
      </w:numPr>
    </w:pPr>
  </w:style>
  <w:style w:type="numbering" w:customStyle="1" w:styleId="wklist5">
    <w:name w:val="wk_list_5"/>
    <w:pPr>
      <w:numPr>
        <w:numId w:val="5"/>
      </w:numPr>
    </w:pPr>
  </w:style>
  <w:style w:type="numbering" w:customStyle="1" w:styleId="wklist6">
    <w:name w:val="wk_list_6"/>
    <w:pPr>
      <w:numPr>
        <w:numId w:val="7"/>
      </w:numPr>
    </w:pPr>
  </w:style>
  <w:style w:type="numbering" w:customStyle="1" w:styleId="wklist7">
    <w:name w:val="wk_list_7"/>
    <w:pPr>
      <w:numPr>
        <w:numId w:val="8"/>
      </w:numPr>
    </w:pPr>
  </w:style>
  <w:style w:type="numbering" w:customStyle="1" w:styleId="wklist8">
    <w:name w:val="wk_list_8"/>
    <w:pPr>
      <w:numPr>
        <w:numId w:val="9"/>
      </w:numPr>
    </w:pPr>
  </w:style>
  <w:style w:type="numbering" w:customStyle="1" w:styleId="wklist9">
    <w:name w:val="wk_list_9"/>
    <w:pPr>
      <w:numPr>
        <w:numId w:val="10"/>
      </w:numPr>
    </w:pPr>
  </w:style>
  <w:style w:type="numbering" w:customStyle="1" w:styleId="wklist10">
    <w:name w:val="wk_list_10"/>
    <w:pPr>
      <w:numPr>
        <w:numId w:val="11"/>
      </w:numPr>
    </w:pPr>
  </w:style>
  <w:style w:type="numbering" w:customStyle="1" w:styleId="wklist11">
    <w:name w:val="wk_list_11"/>
    <w:pPr>
      <w:numPr>
        <w:numId w:val="12"/>
      </w:numPr>
    </w:pPr>
  </w:style>
  <w:style w:type="numbering" w:customStyle="1" w:styleId="wklist12">
    <w:name w:val="wk_list_12"/>
    <w:pPr>
      <w:numPr>
        <w:numId w:val="13"/>
      </w:numPr>
    </w:pPr>
  </w:style>
  <w:style w:type="numbering" w:customStyle="1" w:styleId="wklist13">
    <w:name w:val="wk_list_13"/>
    <w:pPr>
      <w:numPr>
        <w:numId w:val="14"/>
      </w:numPr>
    </w:pPr>
  </w:style>
  <w:style w:type="numbering" w:customStyle="1" w:styleId="wklist14">
    <w:name w:val="wk_list_14"/>
    <w:pPr>
      <w:numPr>
        <w:numId w:val="15"/>
      </w:numPr>
    </w:pPr>
  </w:style>
  <w:style w:type="numbering" w:customStyle="1" w:styleId="wklist15">
    <w:name w:val="wk_list_15"/>
    <w:pPr>
      <w:numPr>
        <w:numId w:val="16"/>
      </w:numPr>
    </w:pPr>
  </w:style>
  <w:style w:type="numbering" w:customStyle="1" w:styleId="wklist16">
    <w:name w:val="wk_list_16"/>
    <w:pPr>
      <w:numPr>
        <w:numId w:val="17"/>
      </w:numPr>
    </w:pPr>
  </w:style>
  <w:style w:type="numbering" w:customStyle="1" w:styleId="wklist17">
    <w:name w:val="wk_list_17"/>
    <w:pPr>
      <w:numPr>
        <w:numId w:val="18"/>
      </w:numPr>
    </w:pPr>
  </w:style>
  <w:style w:type="numbering" w:customStyle="1" w:styleId="wklist18">
    <w:name w:val="wk_list_18"/>
    <w:pPr>
      <w:numPr>
        <w:numId w:val="19"/>
      </w:numPr>
    </w:pPr>
  </w:style>
  <w:style w:type="numbering" w:customStyle="1" w:styleId="wklist19">
    <w:name w:val="wk_list_19"/>
    <w:pPr>
      <w:numPr>
        <w:numId w:val="20"/>
      </w:numPr>
    </w:pPr>
  </w:style>
  <w:style w:type="numbering" w:customStyle="1" w:styleId="wklist20">
    <w:name w:val="wk_list_20"/>
    <w:pPr>
      <w:numPr>
        <w:numId w:val="21"/>
      </w:numPr>
    </w:pPr>
  </w:style>
  <w:style w:type="numbering" w:customStyle="1" w:styleId="wklist21">
    <w:name w:val="wk_list_21"/>
    <w:pPr>
      <w:numPr>
        <w:numId w:val="22"/>
      </w:numPr>
    </w:pPr>
  </w:style>
  <w:style w:type="numbering" w:customStyle="1" w:styleId="wklist22">
    <w:name w:val="wk_list_22"/>
    <w:pPr>
      <w:numPr>
        <w:numId w:val="23"/>
      </w:numPr>
    </w:pPr>
  </w:style>
  <w:style w:type="numbering" w:customStyle="1" w:styleId="wklist23">
    <w:name w:val="wk_list_23"/>
    <w:pPr>
      <w:numPr>
        <w:numId w:val="24"/>
      </w:numPr>
    </w:pPr>
  </w:style>
  <w:style w:type="numbering" w:customStyle="1" w:styleId="wklist24">
    <w:name w:val="wk_list_24"/>
    <w:pPr>
      <w:numPr>
        <w:numId w:val="25"/>
      </w:numPr>
    </w:pPr>
  </w:style>
  <w:style w:type="numbering" w:customStyle="1" w:styleId="wklist25">
    <w:name w:val="wk_list_25"/>
    <w:pPr>
      <w:numPr>
        <w:numId w:val="26"/>
      </w:numPr>
    </w:pPr>
  </w:style>
  <w:style w:type="numbering" w:customStyle="1" w:styleId="wklist26">
    <w:name w:val="wk_list_26"/>
    <w:pPr>
      <w:numPr>
        <w:numId w:val="27"/>
      </w:numPr>
    </w:pPr>
  </w:style>
  <w:style w:type="numbering" w:customStyle="1" w:styleId="wklist27">
    <w:name w:val="wk_list_27"/>
    <w:pPr>
      <w:numPr>
        <w:numId w:val="28"/>
      </w:numPr>
    </w:pPr>
  </w:style>
  <w:style w:type="numbering" w:customStyle="1" w:styleId="wklist28">
    <w:name w:val="wk_list_28"/>
    <w:pPr>
      <w:numPr>
        <w:numId w:val="29"/>
      </w:numPr>
    </w:pPr>
  </w:style>
  <w:style w:type="numbering" w:customStyle="1" w:styleId="wklist29">
    <w:name w:val="wk_list_29"/>
    <w:pPr>
      <w:numPr>
        <w:numId w:val="30"/>
      </w:numPr>
    </w:pPr>
  </w:style>
  <w:style w:type="numbering" w:customStyle="1" w:styleId="wklist30">
    <w:name w:val="wk_list_30"/>
    <w:pPr>
      <w:numPr>
        <w:numId w:val="31"/>
      </w:numPr>
    </w:pPr>
  </w:style>
  <w:style w:type="numbering" w:customStyle="1" w:styleId="wklist31">
    <w:name w:val="wk_list_31"/>
    <w:pPr>
      <w:numPr>
        <w:numId w:val="33"/>
      </w:numPr>
    </w:pPr>
  </w:style>
  <w:style w:type="numbering" w:customStyle="1" w:styleId="wklist32">
    <w:name w:val="wk_list_32"/>
    <w:pPr>
      <w:numPr>
        <w:numId w:val="34"/>
      </w:numPr>
    </w:pPr>
  </w:style>
  <w:style w:type="numbering" w:customStyle="1" w:styleId="wklist33">
    <w:name w:val="wk_list_33"/>
    <w:pPr>
      <w:numPr>
        <w:numId w:val="35"/>
      </w:numPr>
    </w:pPr>
  </w:style>
  <w:style w:type="numbering" w:customStyle="1" w:styleId="wklist34">
    <w:name w:val="wk_list_34"/>
    <w:pPr>
      <w:numPr>
        <w:numId w:val="36"/>
      </w:numPr>
    </w:pPr>
  </w:style>
  <w:style w:type="numbering" w:customStyle="1" w:styleId="wklist35">
    <w:name w:val="wk_list_35"/>
    <w:pPr>
      <w:numPr>
        <w:numId w:val="37"/>
      </w:numPr>
    </w:pPr>
  </w:style>
  <w:style w:type="numbering" w:customStyle="1" w:styleId="wklist36">
    <w:name w:val="wk_list_36"/>
    <w:pPr>
      <w:numPr>
        <w:numId w:val="38"/>
      </w:numPr>
    </w:pPr>
  </w:style>
  <w:style w:type="numbering" w:customStyle="1" w:styleId="wklist37">
    <w:name w:val="wk_list_37"/>
    <w:pPr>
      <w:numPr>
        <w:numId w:val="39"/>
      </w:numPr>
    </w:pPr>
  </w:style>
  <w:style w:type="numbering" w:customStyle="1" w:styleId="wklist38">
    <w:name w:val="wk_list_38"/>
    <w:pPr>
      <w:numPr>
        <w:numId w:val="40"/>
      </w:numPr>
    </w:pPr>
  </w:style>
  <w:style w:type="numbering" w:customStyle="1" w:styleId="wklist39">
    <w:name w:val="wk_list_39"/>
    <w:pPr>
      <w:numPr>
        <w:numId w:val="41"/>
      </w:numPr>
    </w:pPr>
  </w:style>
  <w:style w:type="numbering" w:customStyle="1" w:styleId="wklist40">
    <w:name w:val="wk_list_40"/>
    <w:pPr>
      <w:numPr>
        <w:numId w:val="42"/>
      </w:numPr>
    </w:pPr>
  </w:style>
  <w:style w:type="numbering" w:customStyle="1" w:styleId="wklist41">
    <w:name w:val="wk_list_41"/>
    <w:pPr>
      <w:numPr>
        <w:numId w:val="43"/>
      </w:numPr>
    </w:pPr>
  </w:style>
  <w:style w:type="numbering" w:customStyle="1" w:styleId="wklist42">
    <w:name w:val="wk_list_42"/>
    <w:pPr>
      <w:numPr>
        <w:numId w:val="44"/>
      </w:numPr>
    </w:pPr>
  </w:style>
  <w:style w:type="numbering" w:customStyle="1" w:styleId="wklist43">
    <w:name w:val="wk_list_43"/>
    <w:pPr>
      <w:numPr>
        <w:numId w:val="45"/>
      </w:numPr>
    </w:pPr>
  </w:style>
  <w:style w:type="numbering" w:customStyle="1" w:styleId="wklist44">
    <w:name w:val="wk_list_44"/>
    <w:pPr>
      <w:numPr>
        <w:numId w:val="46"/>
      </w:numPr>
    </w:pPr>
  </w:style>
  <w:style w:type="numbering" w:customStyle="1" w:styleId="wklist45">
    <w:name w:val="wk_list_45"/>
    <w:pPr>
      <w:numPr>
        <w:numId w:val="47"/>
      </w:numPr>
    </w:pPr>
  </w:style>
  <w:style w:type="numbering" w:customStyle="1" w:styleId="wklist46">
    <w:name w:val="wk_list_46"/>
    <w:pPr>
      <w:numPr>
        <w:numId w:val="48"/>
      </w:numPr>
    </w:pPr>
  </w:style>
  <w:style w:type="numbering" w:customStyle="1" w:styleId="wklist47">
    <w:name w:val="wk_list_47"/>
    <w:pPr>
      <w:numPr>
        <w:numId w:val="49"/>
      </w:numPr>
    </w:pPr>
  </w:style>
  <w:style w:type="numbering" w:customStyle="1" w:styleId="wklist48">
    <w:name w:val="wk_list_48"/>
    <w:pPr>
      <w:numPr>
        <w:numId w:val="50"/>
      </w:numPr>
    </w:pPr>
  </w:style>
  <w:style w:type="numbering" w:customStyle="1" w:styleId="wklist49">
    <w:name w:val="wk_list_49"/>
    <w:pPr>
      <w:numPr>
        <w:numId w:val="51"/>
      </w:numPr>
    </w:pPr>
  </w:style>
  <w:style w:type="numbering" w:customStyle="1" w:styleId="wklist50">
    <w:name w:val="wk_list_50"/>
    <w:pPr>
      <w:numPr>
        <w:numId w:val="52"/>
      </w:numPr>
    </w:pPr>
  </w:style>
  <w:style w:type="numbering" w:customStyle="1" w:styleId="wklist51">
    <w:name w:val="wk_list_51"/>
    <w:pPr>
      <w:numPr>
        <w:numId w:val="53"/>
      </w:numPr>
    </w:pPr>
  </w:style>
  <w:style w:type="numbering" w:customStyle="1" w:styleId="wklist52">
    <w:name w:val="wk_list_52"/>
    <w:pPr>
      <w:numPr>
        <w:numId w:val="54"/>
      </w:numPr>
    </w:pPr>
  </w:style>
  <w:style w:type="numbering" w:customStyle="1" w:styleId="wklist53">
    <w:name w:val="wk_list_53"/>
    <w:pPr>
      <w:numPr>
        <w:numId w:val="55"/>
      </w:numPr>
    </w:pPr>
  </w:style>
  <w:style w:type="numbering" w:customStyle="1" w:styleId="wklist54">
    <w:name w:val="wk_list_54"/>
    <w:pPr>
      <w:numPr>
        <w:numId w:val="57"/>
      </w:numPr>
    </w:pPr>
  </w:style>
  <w:style w:type="numbering" w:customStyle="1" w:styleId="wklist55">
    <w:name w:val="wk_list_55"/>
    <w:pPr>
      <w:numPr>
        <w:numId w:val="58"/>
      </w:numPr>
    </w:pPr>
  </w:style>
  <w:style w:type="numbering" w:customStyle="1" w:styleId="wklist56">
    <w:name w:val="wk_list_56"/>
    <w:pPr>
      <w:numPr>
        <w:numId w:val="59"/>
      </w:numPr>
    </w:pPr>
  </w:style>
  <w:style w:type="numbering" w:customStyle="1" w:styleId="wklist57">
    <w:name w:val="wk_list_57"/>
    <w:pPr>
      <w:numPr>
        <w:numId w:val="60"/>
      </w:numPr>
    </w:pPr>
  </w:style>
  <w:style w:type="numbering" w:customStyle="1" w:styleId="wklist58">
    <w:name w:val="wk_list_58"/>
    <w:pPr>
      <w:numPr>
        <w:numId w:val="61"/>
      </w:numPr>
    </w:pPr>
  </w:style>
  <w:style w:type="numbering" w:customStyle="1" w:styleId="wklist59">
    <w:name w:val="wk_list_59"/>
    <w:pPr>
      <w:numPr>
        <w:numId w:val="62"/>
      </w:numPr>
    </w:pPr>
  </w:style>
  <w:style w:type="numbering" w:customStyle="1" w:styleId="wklist60">
    <w:name w:val="wk_list_60"/>
    <w:pPr>
      <w:numPr>
        <w:numId w:val="63"/>
      </w:numPr>
    </w:pPr>
  </w:style>
  <w:style w:type="numbering" w:customStyle="1" w:styleId="wklist61">
    <w:name w:val="wk_list_61"/>
    <w:pPr>
      <w:numPr>
        <w:numId w:val="64"/>
      </w:numPr>
    </w:pPr>
  </w:style>
  <w:style w:type="numbering" w:customStyle="1" w:styleId="wklist62">
    <w:name w:val="wk_list_62"/>
    <w:pPr>
      <w:numPr>
        <w:numId w:val="65"/>
      </w:numPr>
    </w:pPr>
  </w:style>
  <w:style w:type="numbering" w:customStyle="1" w:styleId="wklist63">
    <w:name w:val="wk_list_63"/>
    <w:pPr>
      <w:numPr>
        <w:numId w:val="66"/>
      </w:numPr>
    </w:pPr>
  </w:style>
  <w:style w:type="numbering" w:customStyle="1" w:styleId="wklist64">
    <w:name w:val="wk_list_64"/>
    <w:pPr>
      <w:numPr>
        <w:numId w:val="67"/>
      </w:numPr>
    </w:pPr>
  </w:style>
  <w:style w:type="numbering" w:customStyle="1" w:styleId="wklist65">
    <w:name w:val="wk_list_65"/>
    <w:pPr>
      <w:numPr>
        <w:numId w:val="69"/>
      </w:numPr>
    </w:pPr>
  </w:style>
  <w:style w:type="paragraph" w:styleId="BalloonText">
    <w:name w:val="Balloon Text"/>
    <w:basedOn w:val="Normal"/>
    <w:link w:val="BalloonTextChar"/>
    <w:rsid w:val="00773D73"/>
    <w:rPr>
      <w:rFonts w:ascii="Segoe UI" w:hAnsi="Segoe UI" w:cs="Segoe UI"/>
      <w:sz w:val="18"/>
      <w:szCs w:val="18"/>
    </w:rPr>
  </w:style>
  <w:style w:type="character" w:customStyle="1" w:styleId="BalloonTextChar">
    <w:name w:val="Balloon Text Char"/>
    <w:basedOn w:val="DefaultParagraphFont"/>
    <w:link w:val="BalloonText"/>
    <w:rsid w:val="00773D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3EC9B552EE1439E6678242E4D422E" ma:contentTypeVersion="9" ma:contentTypeDescription="Create a new document." ma:contentTypeScope="" ma:versionID="4e682bfd76acf0237efa15b9ba106d7e">
  <xsd:schema xmlns:xsd="http://www.w3.org/2001/XMLSchema" xmlns:xs="http://www.w3.org/2001/XMLSchema" xmlns:p="http://schemas.microsoft.com/office/2006/metadata/properties" xmlns:ns3="2fab29db-158b-4bc6-af15-9980e86d9110" xmlns:ns4="8e9d703f-bf27-493a-b83f-a19061e24845" targetNamespace="http://schemas.microsoft.com/office/2006/metadata/properties" ma:root="true" ma:fieldsID="9c84ca74721b6d0da07b234479834b3e" ns3:_="" ns4:_="">
    <xsd:import namespace="2fab29db-158b-4bc6-af15-9980e86d9110"/>
    <xsd:import namespace="8e9d703f-bf27-493a-b83f-a19061e248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b29db-158b-4bc6-af15-9980e86d9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d703f-bf27-493a-b83f-a19061e248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43A4C7-762A-4C7F-AA20-3347988CB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b29db-158b-4bc6-af15-9980e86d9110"/>
    <ds:schemaRef ds:uri="8e9d703f-bf27-493a-b83f-a19061e24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92CFB-D248-4760-9FB8-D23813DF93F1}">
  <ds:schemaRefs>
    <ds:schemaRef ds:uri="http://schemas.microsoft.com/sharepoint/v3/contenttype/forms"/>
  </ds:schemaRefs>
</ds:datastoreItem>
</file>

<file path=customXml/itemProps3.xml><?xml version="1.0" encoding="utf-8"?>
<ds:datastoreItem xmlns:ds="http://schemas.openxmlformats.org/officeDocument/2006/customXml" ds:itemID="{2FACDC97-8F29-4718-887B-4FAC7D1AE7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3091</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2019 Q2 Exhibit 991</vt:lpstr>
    </vt:vector>
  </TitlesOfParts>
  <Company/>
  <LinksUpToDate>false</LinksUpToDate>
  <CharactersWithSpaces>20669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Q2 Exhibit 991</dc:title>
  <dc:creator>Parker, Jamie SHLOIL-FR</dc:creator>
  <cp:lastModifiedBy>Parker, Jamie SHLOIL-FR</cp:lastModifiedBy>
  <cp:revision>2</cp:revision>
  <cp:lastPrinted>2019-08-01T12:09:00Z</cp:lastPrinted>
  <dcterms:created xsi:type="dcterms:W3CDTF">2019-08-01T12:09:00Z</dcterms:created>
  <dcterms:modified xsi:type="dcterms:W3CDTF">2019-08-01T12:09:00Z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0x010100F263EC9B552EE1439E6678242E4D422E</vt:lpwstr>
  </property>
</Properties>
</file>