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6CB93" w14:textId="4A1B6A7F" w:rsidR="008117D5" w:rsidRDefault="00CC2C63" w:rsidP="007F0C6D">
      <w:pPr>
        <w:pBdr>
          <w:top w:val="nil"/>
          <w:left w:val="nil"/>
          <w:bottom w:val="nil"/>
          <w:right w:val="nil"/>
          <w:between w:val="nil"/>
        </w:pBdr>
        <w:ind w:left="360"/>
        <w:jc w:val="center"/>
        <w:rPr>
          <w:rFonts w:ascii="Times" w:eastAsia="Times" w:hAnsi="Times" w:cs="Times"/>
          <w:b/>
          <w:color w:val="191919"/>
        </w:rPr>
      </w:pPr>
      <w:bookmarkStart w:id="0" w:name="_GoBack"/>
      <w:bookmarkEnd w:id="0"/>
      <w:r>
        <w:rPr>
          <w:rFonts w:ascii="Times" w:eastAsia="Times" w:hAnsi="Times" w:cs="Times"/>
          <w:b/>
          <w:color w:val="191919"/>
        </w:rPr>
        <w:t xml:space="preserve">Silver Bullet Mines </w:t>
      </w:r>
      <w:r w:rsidR="007839D1">
        <w:rPr>
          <w:rFonts w:ascii="Times" w:eastAsia="Times" w:hAnsi="Times" w:cs="Times"/>
          <w:b/>
          <w:color w:val="191919"/>
        </w:rPr>
        <w:t>Corp</w:t>
      </w:r>
      <w:r>
        <w:rPr>
          <w:rFonts w:ascii="Times" w:eastAsia="Times" w:hAnsi="Times" w:cs="Times"/>
          <w:b/>
          <w:color w:val="191919"/>
        </w:rPr>
        <w:t xml:space="preserve">. (Formerly </w:t>
      </w:r>
      <w:r w:rsidR="00DA576D">
        <w:rPr>
          <w:rFonts w:ascii="Times" w:eastAsia="Times" w:hAnsi="Times" w:cs="Times"/>
          <w:b/>
          <w:color w:val="191919"/>
        </w:rPr>
        <w:t>Pinehurst Capital I</w:t>
      </w:r>
      <w:r w:rsidR="00CD6BFD">
        <w:rPr>
          <w:rFonts w:ascii="Times" w:eastAsia="Times" w:hAnsi="Times" w:cs="Times"/>
          <w:b/>
          <w:color w:val="191919"/>
        </w:rPr>
        <w:t xml:space="preserve"> </w:t>
      </w:r>
      <w:r>
        <w:rPr>
          <w:rFonts w:ascii="Times" w:eastAsia="Times" w:hAnsi="Times" w:cs="Times"/>
          <w:b/>
          <w:color w:val="191919"/>
        </w:rPr>
        <w:t xml:space="preserve">Inc.) Closes </w:t>
      </w:r>
      <w:r w:rsidR="00E708CD">
        <w:rPr>
          <w:rFonts w:ascii="Times" w:eastAsia="Times" w:hAnsi="Times" w:cs="Times"/>
          <w:b/>
          <w:color w:val="191919"/>
        </w:rPr>
        <w:t>Qualifying</w:t>
      </w:r>
      <w:r>
        <w:rPr>
          <w:rFonts w:ascii="Times" w:eastAsia="Times" w:hAnsi="Times" w:cs="Times"/>
          <w:b/>
          <w:color w:val="191919"/>
        </w:rPr>
        <w:t xml:space="preserve"> Transaction</w:t>
      </w:r>
    </w:p>
    <w:p w14:paraId="00000001" w14:textId="7D54859D" w:rsidR="003B40C8" w:rsidRDefault="00DA576D" w:rsidP="0003632B">
      <w:pPr>
        <w:pBdr>
          <w:top w:val="nil"/>
          <w:left w:val="nil"/>
          <w:bottom w:val="nil"/>
          <w:right w:val="nil"/>
          <w:between w:val="nil"/>
        </w:pBdr>
        <w:ind w:left="720"/>
        <w:rPr>
          <w:rFonts w:ascii="Times" w:eastAsia="Times" w:hAnsi="Times" w:cs="Times"/>
          <w:b/>
          <w:color w:val="191919"/>
        </w:rPr>
      </w:pPr>
      <w:r>
        <w:rPr>
          <w:rFonts w:ascii="Times" w:eastAsia="Times" w:hAnsi="Times" w:cs="Times"/>
          <w:b/>
          <w:color w:val="191919"/>
        </w:rPr>
        <w:t xml:space="preserve">  </w:t>
      </w:r>
    </w:p>
    <w:p w14:paraId="627C3DBB" w14:textId="58FAE6B3" w:rsidR="00F22CF3" w:rsidRDefault="00DA576D" w:rsidP="00737A25">
      <w:pPr>
        <w:pBdr>
          <w:top w:val="nil"/>
          <w:left w:val="nil"/>
          <w:bottom w:val="nil"/>
          <w:right w:val="nil"/>
          <w:between w:val="nil"/>
        </w:pBdr>
        <w:ind w:left="360"/>
        <w:jc w:val="both"/>
        <w:rPr>
          <w:rFonts w:ascii="Times" w:eastAsia="Times" w:hAnsi="Times" w:cs="Times"/>
          <w:color w:val="191919"/>
        </w:rPr>
      </w:pPr>
      <w:r w:rsidRPr="00CD6BFD">
        <w:rPr>
          <w:rFonts w:ascii="Times" w:eastAsia="Times" w:hAnsi="Times" w:cs="Times"/>
          <w:color w:val="191919"/>
        </w:rPr>
        <w:t>TORONTO,</w:t>
      </w:r>
      <w:r w:rsidR="00DA4443">
        <w:rPr>
          <w:rFonts w:ascii="Times" w:eastAsia="Times" w:hAnsi="Times" w:cs="Times"/>
          <w:color w:val="191919"/>
        </w:rPr>
        <w:t xml:space="preserve"> </w:t>
      </w:r>
      <w:r w:rsidR="00771218">
        <w:rPr>
          <w:rFonts w:ascii="Times" w:eastAsia="Times" w:hAnsi="Times" w:cs="Times"/>
          <w:color w:val="191919"/>
        </w:rPr>
        <w:t>December 1</w:t>
      </w:r>
      <w:r w:rsidR="00CC2C63">
        <w:rPr>
          <w:rFonts w:ascii="Times" w:eastAsia="Times" w:hAnsi="Times" w:cs="Times"/>
          <w:color w:val="191919"/>
        </w:rPr>
        <w:t xml:space="preserve">, </w:t>
      </w:r>
      <w:r w:rsidR="00CD6BFD" w:rsidRPr="00CD6BFD">
        <w:rPr>
          <w:rFonts w:ascii="Times" w:eastAsia="Times" w:hAnsi="Times" w:cs="Times"/>
          <w:color w:val="191919"/>
        </w:rPr>
        <w:t>2021</w:t>
      </w:r>
      <w:r w:rsidRPr="00D5165A">
        <w:rPr>
          <w:rFonts w:ascii="Times" w:eastAsia="Times" w:hAnsi="Times" w:cs="Times"/>
          <w:color w:val="191919"/>
        </w:rPr>
        <w:t xml:space="preserve"> (GLOBE NEWSWIRE) —</w:t>
      </w:r>
      <w:r w:rsidR="00CC2C63">
        <w:rPr>
          <w:rFonts w:ascii="Times" w:eastAsia="Times" w:hAnsi="Times" w:cs="Times"/>
          <w:color w:val="191919"/>
        </w:rPr>
        <w:t xml:space="preserve">Silver Bullet Mines </w:t>
      </w:r>
      <w:r w:rsidR="007839D1">
        <w:rPr>
          <w:rFonts w:ascii="Times" w:eastAsia="Times" w:hAnsi="Times" w:cs="Times"/>
          <w:color w:val="191919"/>
        </w:rPr>
        <w:t>Corp</w:t>
      </w:r>
      <w:r w:rsidR="00CC2C63">
        <w:rPr>
          <w:rFonts w:ascii="Times" w:eastAsia="Times" w:hAnsi="Times" w:cs="Times"/>
          <w:color w:val="191919"/>
        </w:rPr>
        <w:t>.</w:t>
      </w:r>
      <w:r w:rsidR="00737A25" w:rsidRPr="00737A25">
        <w:rPr>
          <w:rFonts w:ascii="Times" w:eastAsia="Times" w:hAnsi="Times" w:cs="Times"/>
          <w:color w:val="191919"/>
        </w:rPr>
        <w:t xml:space="preserve"> (TSXV:</w:t>
      </w:r>
      <w:r w:rsidR="00E708CD">
        <w:rPr>
          <w:rFonts w:ascii="Times" w:eastAsia="Times" w:hAnsi="Times" w:cs="Times"/>
          <w:color w:val="191919"/>
        </w:rPr>
        <w:t xml:space="preserve"> SBMI</w:t>
      </w:r>
      <w:r w:rsidR="00737A25" w:rsidRPr="00737A25">
        <w:rPr>
          <w:rFonts w:ascii="Times" w:eastAsia="Times" w:hAnsi="Times" w:cs="Times"/>
          <w:color w:val="191919"/>
        </w:rPr>
        <w:t>) (“</w:t>
      </w:r>
      <w:r w:rsidR="00CC2C63">
        <w:rPr>
          <w:rFonts w:ascii="Times" w:eastAsia="Times" w:hAnsi="Times" w:cs="Times"/>
          <w:b/>
          <w:bCs/>
          <w:color w:val="191919"/>
        </w:rPr>
        <w:t>Silver Bullet</w:t>
      </w:r>
      <w:r w:rsidR="00737A25" w:rsidRPr="00737A25">
        <w:rPr>
          <w:rFonts w:ascii="Times" w:eastAsia="Times" w:hAnsi="Times" w:cs="Times"/>
          <w:color w:val="191919"/>
        </w:rPr>
        <w:t>” or the “</w:t>
      </w:r>
      <w:r w:rsidR="00BC4F38">
        <w:rPr>
          <w:rFonts w:ascii="Times" w:eastAsia="Times" w:hAnsi="Times" w:cs="Times"/>
          <w:b/>
          <w:bCs/>
          <w:color w:val="191919"/>
        </w:rPr>
        <w:t>Company</w:t>
      </w:r>
      <w:r w:rsidR="00737A25" w:rsidRPr="00737A25">
        <w:rPr>
          <w:rFonts w:ascii="Times" w:eastAsia="Times" w:hAnsi="Times" w:cs="Times"/>
          <w:color w:val="191919"/>
        </w:rPr>
        <w:t>”)</w:t>
      </w:r>
      <w:r w:rsidR="00CC2C63">
        <w:rPr>
          <w:rFonts w:ascii="Times" w:eastAsia="Times" w:hAnsi="Times" w:cs="Times"/>
          <w:color w:val="191919"/>
        </w:rPr>
        <w:t>, formerly Pinehurst Capital I Inc.</w:t>
      </w:r>
      <w:r w:rsidR="00737A25" w:rsidRPr="00737A25">
        <w:rPr>
          <w:rFonts w:ascii="Times" w:eastAsia="Times" w:hAnsi="Times" w:cs="Times"/>
          <w:color w:val="191919"/>
        </w:rPr>
        <w:t xml:space="preserve">, is pleased to announce that </w:t>
      </w:r>
      <w:r w:rsidR="00E754FA">
        <w:rPr>
          <w:rFonts w:ascii="Times" w:eastAsia="Times" w:hAnsi="Times" w:cs="Times"/>
          <w:color w:val="191919"/>
        </w:rPr>
        <w:t>the Company has</w:t>
      </w:r>
      <w:r w:rsidR="001546B9">
        <w:rPr>
          <w:rFonts w:ascii="Times" w:eastAsia="Times" w:hAnsi="Times" w:cs="Times"/>
          <w:color w:val="191919"/>
        </w:rPr>
        <w:t xml:space="preserve"> clos</w:t>
      </w:r>
      <w:r w:rsidR="00E754FA">
        <w:rPr>
          <w:rFonts w:ascii="Times" w:eastAsia="Times" w:hAnsi="Times" w:cs="Times"/>
          <w:color w:val="191919"/>
        </w:rPr>
        <w:t>ed</w:t>
      </w:r>
      <w:r w:rsidR="001546B9">
        <w:rPr>
          <w:rFonts w:ascii="Times" w:eastAsia="Times" w:hAnsi="Times" w:cs="Times"/>
          <w:color w:val="191919"/>
        </w:rPr>
        <w:t xml:space="preserve"> it</w:t>
      </w:r>
      <w:r w:rsidR="00CC2C63">
        <w:rPr>
          <w:rFonts w:ascii="Times" w:eastAsia="Times" w:hAnsi="Times" w:cs="Times"/>
          <w:color w:val="191919"/>
        </w:rPr>
        <w:t>s qualifying transaction</w:t>
      </w:r>
      <w:r w:rsidR="00335B1C">
        <w:rPr>
          <w:rFonts w:ascii="Times" w:eastAsia="Times" w:hAnsi="Times" w:cs="Times"/>
          <w:color w:val="191919"/>
        </w:rPr>
        <w:t xml:space="preserve"> </w:t>
      </w:r>
      <w:r w:rsidR="00390AC9">
        <w:rPr>
          <w:rFonts w:ascii="Times" w:eastAsia="Times" w:hAnsi="Times" w:cs="Times"/>
          <w:color w:val="191919"/>
        </w:rPr>
        <w:t>(the “</w:t>
      </w:r>
      <w:r w:rsidR="00390AC9">
        <w:rPr>
          <w:rFonts w:ascii="Times" w:eastAsia="Times" w:hAnsi="Times" w:cs="Times"/>
          <w:b/>
          <w:bCs/>
          <w:color w:val="191919"/>
        </w:rPr>
        <w:t>Transaction</w:t>
      </w:r>
      <w:r w:rsidR="00390AC9">
        <w:rPr>
          <w:rFonts w:ascii="Times" w:eastAsia="Times" w:hAnsi="Times" w:cs="Times"/>
          <w:color w:val="191919"/>
        </w:rPr>
        <w:t>”)</w:t>
      </w:r>
      <w:r w:rsidR="001546B9">
        <w:rPr>
          <w:rFonts w:ascii="Times" w:eastAsia="Times" w:hAnsi="Times" w:cs="Times"/>
          <w:color w:val="191919"/>
        </w:rPr>
        <w:t xml:space="preserve"> </w:t>
      </w:r>
      <w:r w:rsidR="00CC2C63">
        <w:rPr>
          <w:rFonts w:ascii="Times" w:eastAsia="Times" w:hAnsi="Times" w:cs="Times"/>
          <w:color w:val="191919"/>
        </w:rPr>
        <w:t xml:space="preserve">previously </w:t>
      </w:r>
      <w:r w:rsidR="00335B1C">
        <w:rPr>
          <w:rFonts w:ascii="Times" w:eastAsia="Times" w:hAnsi="Times" w:cs="Times"/>
          <w:color w:val="191919"/>
        </w:rPr>
        <w:t xml:space="preserve">announced </w:t>
      </w:r>
      <w:r w:rsidR="00F22CF3">
        <w:rPr>
          <w:rFonts w:ascii="Times" w:eastAsia="Times" w:hAnsi="Times" w:cs="Times"/>
          <w:color w:val="191919"/>
        </w:rPr>
        <w:t xml:space="preserve">in </w:t>
      </w:r>
      <w:r w:rsidR="00335B1C">
        <w:rPr>
          <w:rFonts w:ascii="Times" w:eastAsia="Times" w:hAnsi="Times" w:cs="Times"/>
          <w:color w:val="191919"/>
        </w:rPr>
        <w:t xml:space="preserve">the </w:t>
      </w:r>
      <w:r w:rsidR="001546B9">
        <w:rPr>
          <w:rFonts w:ascii="Times" w:eastAsia="Times" w:hAnsi="Times" w:cs="Times"/>
          <w:color w:val="191919"/>
        </w:rPr>
        <w:t>Company’s</w:t>
      </w:r>
      <w:r w:rsidR="00F22CF3">
        <w:rPr>
          <w:rFonts w:ascii="Times" w:eastAsia="Times" w:hAnsi="Times" w:cs="Times"/>
          <w:color w:val="191919"/>
        </w:rPr>
        <w:t xml:space="preserve"> comprehensive press release</w:t>
      </w:r>
      <w:r w:rsidR="00997CEE">
        <w:rPr>
          <w:rFonts w:ascii="Times" w:eastAsia="Times" w:hAnsi="Times" w:cs="Times"/>
          <w:color w:val="191919"/>
        </w:rPr>
        <w:t>s</w:t>
      </w:r>
      <w:r w:rsidR="00F22CF3">
        <w:rPr>
          <w:rFonts w:ascii="Times" w:eastAsia="Times" w:hAnsi="Times" w:cs="Times"/>
          <w:color w:val="191919"/>
        </w:rPr>
        <w:t xml:space="preserve"> </w:t>
      </w:r>
      <w:r w:rsidR="00F22CF3" w:rsidRPr="00104597">
        <w:rPr>
          <w:rFonts w:ascii="Times" w:eastAsia="Times" w:hAnsi="Times" w:cs="Times"/>
          <w:color w:val="191919"/>
        </w:rPr>
        <w:t>dated</w:t>
      </w:r>
      <w:r w:rsidR="00997CEE" w:rsidRPr="00104597">
        <w:rPr>
          <w:rFonts w:ascii="Times" w:eastAsia="Times" w:hAnsi="Times" w:cs="Times"/>
          <w:color w:val="191919"/>
        </w:rPr>
        <w:t xml:space="preserve"> </w:t>
      </w:r>
      <w:r w:rsidR="00104597" w:rsidRPr="00104597">
        <w:rPr>
          <w:rFonts w:ascii="Times" w:eastAsia="Times" w:hAnsi="Times" w:cs="Times"/>
          <w:color w:val="191919"/>
        </w:rPr>
        <w:t>November 12, 2020</w:t>
      </w:r>
      <w:r w:rsidR="00F22CF3" w:rsidRPr="00104597">
        <w:rPr>
          <w:rFonts w:ascii="Times" w:eastAsia="Times" w:hAnsi="Times" w:cs="Times"/>
          <w:color w:val="191919"/>
        </w:rPr>
        <w:t xml:space="preserve"> </w:t>
      </w:r>
      <w:r w:rsidR="00997CEE" w:rsidRPr="00104597">
        <w:rPr>
          <w:rFonts w:ascii="Times" w:eastAsia="Times" w:hAnsi="Times" w:cs="Times"/>
          <w:color w:val="191919"/>
        </w:rPr>
        <w:t xml:space="preserve">and </w:t>
      </w:r>
      <w:r w:rsidR="00F22CF3" w:rsidRPr="00104597">
        <w:rPr>
          <w:rFonts w:ascii="Times" w:eastAsia="Times" w:hAnsi="Times" w:cs="Times"/>
          <w:color w:val="191919"/>
        </w:rPr>
        <w:t xml:space="preserve">June </w:t>
      </w:r>
      <w:r w:rsidR="00104597" w:rsidRPr="00104597">
        <w:rPr>
          <w:rFonts w:ascii="Times" w:eastAsia="Times" w:hAnsi="Times" w:cs="Times"/>
          <w:color w:val="191919"/>
        </w:rPr>
        <w:t>28,</w:t>
      </w:r>
      <w:r w:rsidR="00F22CF3" w:rsidRPr="00104597">
        <w:rPr>
          <w:rFonts w:ascii="Times" w:eastAsia="Times" w:hAnsi="Times" w:cs="Times"/>
          <w:color w:val="191919"/>
        </w:rPr>
        <w:t xml:space="preserve"> 2021</w:t>
      </w:r>
      <w:r w:rsidR="001546B9">
        <w:rPr>
          <w:rFonts w:ascii="Times" w:eastAsia="Times" w:hAnsi="Times" w:cs="Times"/>
          <w:color w:val="191919"/>
        </w:rPr>
        <w:t xml:space="preserve"> and more particularly set out in its filing statement dated September 27, 2021 (the “</w:t>
      </w:r>
      <w:r w:rsidR="001546B9">
        <w:rPr>
          <w:rFonts w:ascii="Times" w:eastAsia="Times" w:hAnsi="Times" w:cs="Times"/>
          <w:b/>
          <w:bCs/>
          <w:color w:val="191919"/>
        </w:rPr>
        <w:t>Filing Statement</w:t>
      </w:r>
      <w:r w:rsidR="001546B9">
        <w:rPr>
          <w:rFonts w:ascii="Times" w:eastAsia="Times" w:hAnsi="Times" w:cs="Times"/>
          <w:color w:val="191919"/>
        </w:rPr>
        <w:t xml:space="preserve">”) which is available under the Company’s profile at www.sedar.com, </w:t>
      </w:r>
      <w:r w:rsidR="00E754FA">
        <w:rPr>
          <w:rFonts w:ascii="Times" w:eastAsia="Times" w:hAnsi="Times" w:cs="Times"/>
          <w:color w:val="191919"/>
        </w:rPr>
        <w:t xml:space="preserve">subject to final approval of </w:t>
      </w:r>
      <w:r w:rsidR="001546B9">
        <w:rPr>
          <w:rFonts w:ascii="Times" w:eastAsia="Times" w:hAnsi="Times" w:cs="Times"/>
          <w:color w:val="191919"/>
        </w:rPr>
        <w:t>the TSX Venture Exchange (the “</w:t>
      </w:r>
      <w:r w:rsidR="008D6C54">
        <w:rPr>
          <w:rFonts w:ascii="Times" w:eastAsia="Times" w:hAnsi="Times" w:cs="Times"/>
          <w:b/>
          <w:bCs/>
          <w:color w:val="191919"/>
        </w:rPr>
        <w:t>TSXV</w:t>
      </w:r>
      <w:r w:rsidR="001546B9">
        <w:rPr>
          <w:rFonts w:ascii="Times" w:eastAsia="Times" w:hAnsi="Times" w:cs="Times"/>
          <w:color w:val="191919"/>
        </w:rPr>
        <w:t>”)</w:t>
      </w:r>
      <w:r w:rsidR="00E754FA">
        <w:rPr>
          <w:rFonts w:ascii="Times" w:eastAsia="Times" w:hAnsi="Times" w:cs="Times"/>
          <w:color w:val="191919"/>
        </w:rPr>
        <w:t>.</w:t>
      </w:r>
      <w:r w:rsidR="001546B9">
        <w:rPr>
          <w:rFonts w:ascii="Times" w:eastAsia="Times" w:hAnsi="Times" w:cs="Times"/>
          <w:color w:val="191919"/>
        </w:rPr>
        <w:t xml:space="preserve"> </w:t>
      </w:r>
      <w:r w:rsidR="00F04427">
        <w:rPr>
          <w:rFonts w:ascii="Times" w:eastAsia="Times" w:hAnsi="Times" w:cs="Times"/>
          <w:color w:val="191919"/>
        </w:rPr>
        <w:t>The Company’s</w:t>
      </w:r>
      <w:r w:rsidR="00F04427" w:rsidRPr="00F04427">
        <w:rPr>
          <w:rFonts w:ascii="Times" w:eastAsia="Times" w:hAnsi="Times" w:cs="Times"/>
          <w:color w:val="191919"/>
        </w:rPr>
        <w:t xml:space="preserve"> shares, which had traded on the TSX</w:t>
      </w:r>
      <w:r w:rsidR="00F04427">
        <w:rPr>
          <w:rFonts w:ascii="Times" w:eastAsia="Times" w:hAnsi="Times" w:cs="Times"/>
          <w:color w:val="191919"/>
        </w:rPr>
        <w:t xml:space="preserve">V, </w:t>
      </w:r>
      <w:r w:rsidR="00F04427" w:rsidRPr="00F04427">
        <w:rPr>
          <w:rFonts w:ascii="Times" w:eastAsia="Times" w:hAnsi="Times" w:cs="Times"/>
          <w:color w:val="191919"/>
        </w:rPr>
        <w:t xml:space="preserve">were halted on August 27, 2020, at </w:t>
      </w:r>
      <w:r w:rsidR="00F04427">
        <w:rPr>
          <w:rFonts w:ascii="Times" w:eastAsia="Times" w:hAnsi="Times" w:cs="Times"/>
          <w:color w:val="191919"/>
        </w:rPr>
        <w:t>the Company’s</w:t>
      </w:r>
      <w:r w:rsidR="00F04427" w:rsidRPr="00F04427">
        <w:rPr>
          <w:rFonts w:ascii="Times" w:eastAsia="Times" w:hAnsi="Times" w:cs="Times"/>
          <w:color w:val="191919"/>
        </w:rPr>
        <w:t xml:space="preserve"> request pending completion of the Transaction and receipt of final approval of the </w:t>
      </w:r>
      <w:r w:rsidR="00F04427">
        <w:rPr>
          <w:rFonts w:ascii="Times" w:eastAsia="Times" w:hAnsi="Times" w:cs="Times"/>
          <w:color w:val="191919"/>
        </w:rPr>
        <w:t>TSXV</w:t>
      </w:r>
      <w:r w:rsidR="00F04427" w:rsidRPr="00F04427">
        <w:rPr>
          <w:rFonts w:ascii="Times" w:eastAsia="Times" w:hAnsi="Times" w:cs="Times"/>
          <w:color w:val="191919"/>
        </w:rPr>
        <w:t>.</w:t>
      </w:r>
      <w:r w:rsidR="00F04427">
        <w:rPr>
          <w:rFonts w:ascii="Times" w:eastAsia="Times" w:hAnsi="Times" w:cs="Times"/>
          <w:color w:val="191919"/>
        </w:rPr>
        <w:t xml:space="preserve"> </w:t>
      </w:r>
      <w:r w:rsidR="001546B9">
        <w:rPr>
          <w:rFonts w:ascii="Times" w:eastAsia="Times" w:hAnsi="Times" w:cs="Times"/>
          <w:color w:val="191919"/>
        </w:rPr>
        <w:t xml:space="preserve">The Company’s common shares will commence trading on the TSXV as a Tier 2 mining issuer under the symbol “SBMI” </w:t>
      </w:r>
      <w:r w:rsidR="00FC5172">
        <w:rPr>
          <w:rFonts w:ascii="Times" w:eastAsia="Times" w:hAnsi="Times" w:cs="Times"/>
          <w:color w:val="191919"/>
        </w:rPr>
        <w:t>on or about</w:t>
      </w:r>
      <w:r w:rsidR="001546B9">
        <w:rPr>
          <w:rFonts w:ascii="Times" w:eastAsia="Times" w:hAnsi="Times" w:cs="Times"/>
          <w:color w:val="191919"/>
        </w:rPr>
        <w:t xml:space="preserve"> </w:t>
      </w:r>
      <w:r w:rsidR="00D1060F">
        <w:rPr>
          <w:rFonts w:ascii="Times" w:eastAsia="Times" w:hAnsi="Times" w:cs="Times"/>
          <w:color w:val="191919"/>
        </w:rPr>
        <w:t>December</w:t>
      </w:r>
      <w:r w:rsidR="007839D1">
        <w:rPr>
          <w:rFonts w:ascii="Times" w:eastAsia="Times" w:hAnsi="Times" w:cs="Times"/>
          <w:color w:val="191919"/>
        </w:rPr>
        <w:t xml:space="preserve"> </w:t>
      </w:r>
      <w:r w:rsidR="00881AE1">
        <w:rPr>
          <w:rFonts w:ascii="Times" w:eastAsia="Times" w:hAnsi="Times" w:cs="Times"/>
          <w:color w:val="191919"/>
        </w:rPr>
        <w:t>6</w:t>
      </w:r>
      <w:r w:rsidR="001546B9">
        <w:rPr>
          <w:rFonts w:ascii="Times" w:eastAsia="Times" w:hAnsi="Times" w:cs="Times"/>
          <w:color w:val="191919"/>
        </w:rPr>
        <w:t>, 2021.</w:t>
      </w:r>
    </w:p>
    <w:p w14:paraId="17FF3A1E" w14:textId="35654FEA" w:rsidR="001546B9" w:rsidRDefault="001546B9" w:rsidP="00737A25">
      <w:pPr>
        <w:pBdr>
          <w:top w:val="nil"/>
          <w:left w:val="nil"/>
          <w:bottom w:val="nil"/>
          <w:right w:val="nil"/>
          <w:between w:val="nil"/>
        </w:pBdr>
        <w:ind w:left="360"/>
        <w:jc w:val="both"/>
        <w:rPr>
          <w:rFonts w:ascii="Times" w:eastAsia="Times" w:hAnsi="Times" w:cs="Times"/>
          <w:color w:val="191919"/>
        </w:rPr>
      </w:pPr>
    </w:p>
    <w:p w14:paraId="3BACB287" w14:textId="6C46E4DE" w:rsidR="008D6C54" w:rsidRPr="008D6C54" w:rsidRDefault="008D6C54" w:rsidP="00737A25">
      <w:pPr>
        <w:pBdr>
          <w:top w:val="nil"/>
          <w:left w:val="nil"/>
          <w:bottom w:val="nil"/>
          <w:right w:val="nil"/>
          <w:between w:val="nil"/>
        </w:pBdr>
        <w:ind w:left="360"/>
        <w:jc w:val="both"/>
        <w:rPr>
          <w:rFonts w:ascii="Times" w:eastAsia="Times" w:hAnsi="Times" w:cs="Times"/>
          <w:b/>
          <w:bCs/>
          <w:color w:val="191919"/>
        </w:rPr>
      </w:pPr>
      <w:r>
        <w:rPr>
          <w:rFonts w:ascii="Times" w:eastAsia="Times" w:hAnsi="Times" w:cs="Times"/>
          <w:b/>
          <w:bCs/>
          <w:color w:val="191919"/>
        </w:rPr>
        <w:t>The Transaction</w:t>
      </w:r>
    </w:p>
    <w:p w14:paraId="07AB3016" w14:textId="77777777" w:rsidR="008D6C54" w:rsidRDefault="008D6C54" w:rsidP="00737A25">
      <w:pPr>
        <w:pBdr>
          <w:top w:val="nil"/>
          <w:left w:val="nil"/>
          <w:bottom w:val="nil"/>
          <w:right w:val="nil"/>
          <w:between w:val="nil"/>
        </w:pBdr>
        <w:ind w:left="360"/>
        <w:jc w:val="both"/>
        <w:rPr>
          <w:rFonts w:ascii="Times" w:eastAsia="Times" w:hAnsi="Times" w:cs="Times"/>
          <w:color w:val="191919"/>
        </w:rPr>
      </w:pPr>
    </w:p>
    <w:p w14:paraId="0AB794A2" w14:textId="1B6228F8" w:rsidR="001546B9" w:rsidRDefault="001546B9" w:rsidP="00737A25">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 xml:space="preserve">Pursuant to an </w:t>
      </w:r>
      <w:r w:rsidRPr="005E64A2">
        <w:rPr>
          <w:rFonts w:ascii="Times" w:eastAsia="Times" w:hAnsi="Times" w:cs="Times"/>
        </w:rPr>
        <w:t>amalgamation agreement, Pinehurst I Acquisition Corp., a wholly owned subsidiary of the Company</w:t>
      </w:r>
      <w:r w:rsidR="00206A52" w:rsidRPr="005E64A2">
        <w:rPr>
          <w:rFonts w:ascii="Times" w:eastAsia="Times" w:hAnsi="Times" w:cs="Times"/>
        </w:rPr>
        <w:t>,</w:t>
      </w:r>
      <w:r w:rsidRPr="005E64A2">
        <w:rPr>
          <w:rFonts w:ascii="Times" w:eastAsia="Times" w:hAnsi="Times" w:cs="Times"/>
        </w:rPr>
        <w:t xml:space="preserve"> and </w:t>
      </w:r>
      <w:r w:rsidR="005E64A2" w:rsidRPr="005E64A2">
        <w:rPr>
          <w:rFonts w:ascii="Times" w:eastAsia="Times" w:hAnsi="Times" w:cs="Times"/>
        </w:rPr>
        <w:t xml:space="preserve">an entity formerly named </w:t>
      </w:r>
      <w:r w:rsidRPr="005E64A2">
        <w:rPr>
          <w:rFonts w:ascii="Times" w:eastAsia="Times" w:hAnsi="Times" w:cs="Times"/>
        </w:rPr>
        <w:t xml:space="preserve">Silver Bullet Mines Inc. amalgamated under the </w:t>
      </w:r>
      <w:r w:rsidRPr="005E64A2">
        <w:rPr>
          <w:rFonts w:ascii="Times" w:eastAsia="Times" w:hAnsi="Times" w:cs="Times"/>
          <w:i/>
          <w:iCs/>
        </w:rPr>
        <w:t>Canada Business Corporations Act</w:t>
      </w:r>
      <w:r w:rsidRPr="005E64A2">
        <w:rPr>
          <w:rFonts w:ascii="Times" w:eastAsia="Times" w:hAnsi="Times" w:cs="Times"/>
        </w:rPr>
        <w:t xml:space="preserve"> (the “</w:t>
      </w:r>
      <w:r w:rsidRPr="005E64A2">
        <w:rPr>
          <w:rFonts w:ascii="Times" w:eastAsia="Times" w:hAnsi="Times" w:cs="Times"/>
          <w:b/>
          <w:bCs/>
        </w:rPr>
        <w:t>Amalgamation</w:t>
      </w:r>
      <w:r w:rsidRPr="005E64A2">
        <w:rPr>
          <w:rFonts w:ascii="Times" w:eastAsia="Times" w:hAnsi="Times" w:cs="Times"/>
        </w:rPr>
        <w:t>”)</w:t>
      </w:r>
      <w:r w:rsidR="00B66190" w:rsidRPr="005E64A2">
        <w:rPr>
          <w:rFonts w:ascii="Times" w:eastAsia="Times" w:hAnsi="Times" w:cs="Times"/>
        </w:rPr>
        <w:t xml:space="preserve"> </w:t>
      </w:r>
      <w:r w:rsidR="005E64A2" w:rsidRPr="005E64A2">
        <w:rPr>
          <w:rFonts w:ascii="Times" w:eastAsia="Times" w:hAnsi="Times" w:cs="Times"/>
        </w:rPr>
        <w:t xml:space="preserve">to form </w:t>
      </w:r>
      <w:r w:rsidR="00D1060F">
        <w:rPr>
          <w:rFonts w:ascii="Times" w:eastAsia="Times" w:hAnsi="Times" w:cs="Times"/>
        </w:rPr>
        <w:t>Silver Bullet Mining Inc</w:t>
      </w:r>
      <w:r w:rsidR="005E64A2" w:rsidRPr="005E64A2">
        <w:rPr>
          <w:rFonts w:ascii="Times" w:eastAsia="Times" w:hAnsi="Times" w:cs="Times"/>
        </w:rPr>
        <w:t>.</w:t>
      </w:r>
      <w:r w:rsidRPr="005E64A2">
        <w:rPr>
          <w:rFonts w:ascii="Times" w:eastAsia="Times" w:hAnsi="Times" w:cs="Times"/>
        </w:rPr>
        <w:t xml:space="preserve"> As a result of the Amalgamation, (</w:t>
      </w:r>
      <w:proofErr w:type="spellStart"/>
      <w:r w:rsidRPr="005E64A2">
        <w:rPr>
          <w:rFonts w:ascii="Times" w:eastAsia="Times" w:hAnsi="Times" w:cs="Times"/>
        </w:rPr>
        <w:t>i</w:t>
      </w:r>
      <w:proofErr w:type="spellEnd"/>
      <w:r w:rsidRPr="005E64A2">
        <w:rPr>
          <w:rFonts w:ascii="Times" w:eastAsia="Times" w:hAnsi="Times" w:cs="Times"/>
        </w:rPr>
        <w:t xml:space="preserve">) all common shares of </w:t>
      </w:r>
      <w:r w:rsidR="00742DF7" w:rsidRPr="005E64A2">
        <w:rPr>
          <w:rFonts w:ascii="Times" w:eastAsia="Times" w:hAnsi="Times" w:cs="Times"/>
        </w:rPr>
        <w:t xml:space="preserve">Pinehurst Capital I Inc. </w:t>
      </w:r>
      <w:r w:rsidRPr="005E64A2">
        <w:rPr>
          <w:rFonts w:ascii="Times" w:eastAsia="Times" w:hAnsi="Times" w:cs="Times"/>
        </w:rPr>
        <w:t>were consolidated on the basis of one (1) post-consolidation common share for every 2.1428 pre-consolidation common shares (the “</w:t>
      </w:r>
      <w:r w:rsidRPr="005E64A2">
        <w:rPr>
          <w:rFonts w:ascii="Times" w:eastAsia="Times" w:hAnsi="Times" w:cs="Times"/>
          <w:b/>
          <w:bCs/>
        </w:rPr>
        <w:t>Consolidation</w:t>
      </w:r>
      <w:r w:rsidRPr="005E64A2">
        <w:rPr>
          <w:rFonts w:ascii="Times" w:eastAsia="Times" w:hAnsi="Times" w:cs="Times"/>
        </w:rPr>
        <w:t xml:space="preserve">”); and (ii) in exchange for each (1) </w:t>
      </w:r>
      <w:r w:rsidR="00B049B8" w:rsidRPr="005E64A2">
        <w:rPr>
          <w:rFonts w:ascii="Times" w:eastAsia="Times" w:hAnsi="Times" w:cs="Times"/>
        </w:rPr>
        <w:t>security</w:t>
      </w:r>
      <w:r w:rsidRPr="005E64A2">
        <w:rPr>
          <w:rFonts w:ascii="Times" w:eastAsia="Times" w:hAnsi="Times" w:cs="Times"/>
        </w:rPr>
        <w:t xml:space="preserve"> held in the capital of </w:t>
      </w:r>
      <w:r w:rsidR="00D1060F">
        <w:rPr>
          <w:rFonts w:ascii="Times" w:eastAsia="Times" w:hAnsi="Times" w:cs="Times"/>
        </w:rPr>
        <w:t>Silver Bullet Mining Inc</w:t>
      </w:r>
      <w:r w:rsidR="005E64A2" w:rsidRPr="005E64A2">
        <w:rPr>
          <w:rFonts w:ascii="Times" w:eastAsia="Times" w:hAnsi="Times" w:cs="Times"/>
        </w:rPr>
        <w:t xml:space="preserve">., </w:t>
      </w:r>
      <w:r w:rsidRPr="005E64A2">
        <w:rPr>
          <w:rFonts w:ascii="Times" w:eastAsia="Times" w:hAnsi="Times" w:cs="Times"/>
        </w:rPr>
        <w:t xml:space="preserve">each securityholder </w:t>
      </w:r>
      <w:r>
        <w:rPr>
          <w:rFonts w:ascii="Times" w:eastAsia="Times" w:hAnsi="Times" w:cs="Times"/>
          <w:color w:val="191919"/>
        </w:rPr>
        <w:t xml:space="preserve">received one (1) security in the capital of the </w:t>
      </w:r>
      <w:r w:rsidR="00B66190">
        <w:rPr>
          <w:rFonts w:ascii="Times" w:eastAsia="Times" w:hAnsi="Times" w:cs="Times"/>
          <w:color w:val="191919"/>
        </w:rPr>
        <w:t>Company</w:t>
      </w:r>
      <w:r>
        <w:rPr>
          <w:rFonts w:ascii="Times" w:eastAsia="Times" w:hAnsi="Times" w:cs="Times"/>
          <w:color w:val="191919"/>
        </w:rPr>
        <w:t xml:space="preserve">.  </w:t>
      </w:r>
      <w:r w:rsidR="00F04427">
        <w:rPr>
          <w:rFonts w:ascii="Times" w:eastAsia="Times" w:hAnsi="Times" w:cs="Times"/>
          <w:color w:val="191919"/>
        </w:rPr>
        <w:t xml:space="preserve">Concurrently with the closing of the Transaction, the Company changed its name to Silver Bullet Mines </w:t>
      </w:r>
      <w:r w:rsidR="007839D1">
        <w:rPr>
          <w:rFonts w:ascii="Times" w:eastAsia="Times" w:hAnsi="Times" w:cs="Times"/>
          <w:color w:val="191919"/>
        </w:rPr>
        <w:t>Corp</w:t>
      </w:r>
      <w:r w:rsidR="00F04427">
        <w:rPr>
          <w:rFonts w:ascii="Times" w:eastAsia="Times" w:hAnsi="Times" w:cs="Times"/>
          <w:color w:val="191919"/>
        </w:rPr>
        <w:t>.</w:t>
      </w:r>
    </w:p>
    <w:p w14:paraId="172A8C38" w14:textId="5651F192" w:rsidR="008D6C54" w:rsidRDefault="008D6C54" w:rsidP="00737A25">
      <w:pPr>
        <w:pBdr>
          <w:top w:val="nil"/>
          <w:left w:val="nil"/>
          <w:bottom w:val="nil"/>
          <w:right w:val="nil"/>
          <w:between w:val="nil"/>
        </w:pBdr>
        <w:ind w:left="360"/>
        <w:jc w:val="both"/>
        <w:rPr>
          <w:rFonts w:ascii="Times" w:eastAsia="Times" w:hAnsi="Times" w:cs="Times"/>
          <w:color w:val="191919"/>
        </w:rPr>
      </w:pPr>
    </w:p>
    <w:p w14:paraId="20AD54D8" w14:textId="4E719BEB" w:rsidR="008D6C54" w:rsidRPr="008D6C54" w:rsidRDefault="008D6C54" w:rsidP="00737A25">
      <w:pPr>
        <w:pBdr>
          <w:top w:val="nil"/>
          <w:left w:val="nil"/>
          <w:bottom w:val="nil"/>
          <w:right w:val="nil"/>
          <w:between w:val="nil"/>
        </w:pBdr>
        <w:ind w:left="360"/>
        <w:jc w:val="both"/>
        <w:rPr>
          <w:rFonts w:ascii="Times" w:eastAsia="Times" w:hAnsi="Times" w:cs="Times"/>
          <w:b/>
          <w:bCs/>
          <w:color w:val="191919"/>
        </w:rPr>
      </w:pPr>
      <w:r>
        <w:rPr>
          <w:rFonts w:ascii="Times" w:eastAsia="Times" w:hAnsi="Times" w:cs="Times"/>
          <w:b/>
          <w:bCs/>
          <w:color w:val="191919"/>
        </w:rPr>
        <w:t>Outstanding Share Capital and Escrow</w:t>
      </w:r>
    </w:p>
    <w:p w14:paraId="71A6B134" w14:textId="22E91B9E" w:rsidR="001546B9" w:rsidRDefault="001546B9" w:rsidP="00737A25">
      <w:pPr>
        <w:pBdr>
          <w:top w:val="nil"/>
          <w:left w:val="nil"/>
          <w:bottom w:val="nil"/>
          <w:right w:val="nil"/>
          <w:between w:val="nil"/>
        </w:pBdr>
        <w:ind w:left="360"/>
        <w:jc w:val="both"/>
        <w:rPr>
          <w:rFonts w:ascii="Times" w:eastAsia="Times" w:hAnsi="Times" w:cs="Times"/>
          <w:color w:val="191919"/>
        </w:rPr>
      </w:pPr>
    </w:p>
    <w:p w14:paraId="63D53C76" w14:textId="79E85599" w:rsidR="001546B9" w:rsidRDefault="001546B9" w:rsidP="00737A25">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 xml:space="preserve">Following the closing of the Transaction, the Company has a total of </w:t>
      </w:r>
      <w:r w:rsidR="007D28D6" w:rsidRPr="007D28D6">
        <w:rPr>
          <w:rFonts w:ascii="Times" w:eastAsia="Times" w:hAnsi="Times" w:cs="Times"/>
          <w:color w:val="191919"/>
        </w:rPr>
        <w:t>55,458,038</w:t>
      </w:r>
      <w:r w:rsidR="007D28D6">
        <w:rPr>
          <w:rFonts w:ascii="Times" w:eastAsia="Times" w:hAnsi="Times" w:cs="Times"/>
          <w:color w:val="191919"/>
        </w:rPr>
        <w:t xml:space="preserve"> </w:t>
      </w:r>
      <w:r>
        <w:rPr>
          <w:rFonts w:ascii="Times" w:eastAsia="Times" w:hAnsi="Times" w:cs="Times"/>
          <w:color w:val="191919"/>
        </w:rPr>
        <w:t xml:space="preserve">common shares issued and outstanding. An aggregate </w:t>
      </w:r>
      <w:r w:rsidR="007D28D6">
        <w:rPr>
          <w:rFonts w:ascii="Times" w:eastAsia="Times" w:hAnsi="Times" w:cs="Times"/>
          <w:color w:val="191919"/>
        </w:rPr>
        <w:t>24,071,668</w:t>
      </w:r>
      <w:r>
        <w:rPr>
          <w:rFonts w:ascii="Times" w:eastAsia="Times" w:hAnsi="Times" w:cs="Times"/>
          <w:color w:val="191919"/>
        </w:rPr>
        <w:t xml:space="preserve"> common shares and </w:t>
      </w:r>
      <w:r w:rsidR="007D28D6">
        <w:rPr>
          <w:rFonts w:ascii="Times" w:eastAsia="Times" w:hAnsi="Times" w:cs="Times"/>
          <w:color w:val="191919"/>
        </w:rPr>
        <w:t>2,605,763</w:t>
      </w:r>
      <w:r>
        <w:rPr>
          <w:rFonts w:ascii="Times" w:eastAsia="Times" w:hAnsi="Times" w:cs="Times"/>
          <w:color w:val="191919"/>
        </w:rPr>
        <w:t xml:space="preserve"> stock options held by the principals of the Company are subject to </w:t>
      </w:r>
      <w:r w:rsidR="007D28D6">
        <w:rPr>
          <w:rFonts w:ascii="Times" w:eastAsia="Times" w:hAnsi="Times" w:cs="Times"/>
          <w:color w:val="191919"/>
        </w:rPr>
        <w:t>Tier 2 Surplus</w:t>
      </w:r>
      <w:r>
        <w:rPr>
          <w:rFonts w:ascii="Times" w:eastAsia="Times" w:hAnsi="Times" w:cs="Times"/>
          <w:color w:val="191919"/>
        </w:rPr>
        <w:t xml:space="preserve"> </w:t>
      </w:r>
      <w:r w:rsidR="007D28D6">
        <w:rPr>
          <w:rFonts w:ascii="Times" w:eastAsia="Times" w:hAnsi="Times" w:cs="Times"/>
          <w:color w:val="191919"/>
        </w:rPr>
        <w:t xml:space="preserve">Security </w:t>
      </w:r>
      <w:r>
        <w:rPr>
          <w:rFonts w:ascii="Times" w:eastAsia="Times" w:hAnsi="Times" w:cs="Times"/>
          <w:color w:val="191919"/>
        </w:rPr>
        <w:t xml:space="preserve">Escrow and will be released from escrow as follows: </w:t>
      </w:r>
      <w:r w:rsidRPr="007D28D6">
        <w:rPr>
          <w:rFonts w:ascii="Times" w:eastAsia="Times" w:hAnsi="Times" w:cs="Times"/>
          <w:color w:val="191919"/>
        </w:rPr>
        <w:t xml:space="preserve">five percent (5%) of the escrowed shares will be released from escrow on the issuance of the </w:t>
      </w:r>
      <w:r w:rsidR="00E754FA" w:rsidRPr="00E754FA">
        <w:rPr>
          <w:rFonts w:ascii="Times" w:eastAsia="Times" w:hAnsi="Times" w:cs="Times"/>
          <w:color w:val="191919"/>
        </w:rPr>
        <w:t>final exchange bulletin confirming the completion of the Transaction</w:t>
      </w:r>
      <w:r w:rsidR="00E754FA">
        <w:rPr>
          <w:rFonts w:ascii="Times" w:eastAsia="Times" w:hAnsi="Times" w:cs="Times"/>
          <w:color w:val="191919"/>
        </w:rPr>
        <w:t xml:space="preserve"> by the TSXV</w:t>
      </w:r>
      <w:r w:rsidR="00E754FA" w:rsidRPr="00E754FA">
        <w:rPr>
          <w:rFonts w:ascii="Times" w:eastAsia="Times" w:hAnsi="Times" w:cs="Times"/>
          <w:color w:val="191919"/>
        </w:rPr>
        <w:t xml:space="preserve"> (the “Final Exchange Bulletin”)</w:t>
      </w:r>
      <w:r w:rsidRPr="007D28D6">
        <w:rPr>
          <w:rFonts w:ascii="Times" w:eastAsia="Times" w:hAnsi="Times" w:cs="Times"/>
          <w:color w:val="191919"/>
        </w:rPr>
        <w:t>, five percent (5%) will be released 6 months thereafter, ten percent (10%) will be released 12 months and 18 months following the issue of the Final Exchange Bulletin, fifteen percent (</w:t>
      </w:r>
      <w:r w:rsidR="007D28D6" w:rsidRPr="007D28D6">
        <w:rPr>
          <w:rFonts w:ascii="Times" w:eastAsia="Times" w:hAnsi="Times" w:cs="Times"/>
          <w:color w:val="191919"/>
        </w:rPr>
        <w:t>1</w:t>
      </w:r>
      <w:r w:rsidRPr="007D28D6">
        <w:rPr>
          <w:rFonts w:ascii="Times" w:eastAsia="Times" w:hAnsi="Times" w:cs="Times"/>
          <w:color w:val="191919"/>
        </w:rPr>
        <w:t>5%) will be released 24 months and 30 months following the issue of the Final Exchange Bulletin, and the balance of forty percent (40%) will be released 36 months after the issue of the Final Exchange Bulletin.</w:t>
      </w:r>
      <w:r w:rsidR="00E754FA">
        <w:rPr>
          <w:rFonts w:ascii="Times" w:eastAsia="Times" w:hAnsi="Times" w:cs="Times"/>
          <w:color w:val="191919"/>
        </w:rPr>
        <w:t xml:space="preserve"> An additional 6,000,000 shares</w:t>
      </w:r>
      <w:r w:rsidR="00C02FFF">
        <w:rPr>
          <w:rFonts w:ascii="Times" w:eastAsia="Times" w:hAnsi="Times" w:cs="Times"/>
          <w:color w:val="191919"/>
        </w:rPr>
        <w:t xml:space="preserve"> and 428,571 stock options</w:t>
      </w:r>
      <w:r w:rsidR="00E754FA">
        <w:rPr>
          <w:rFonts w:ascii="Times" w:eastAsia="Times" w:hAnsi="Times" w:cs="Times"/>
          <w:color w:val="191919"/>
        </w:rPr>
        <w:t xml:space="preserve"> held by non-principals of the Company are subject to Tier 2 Value Security Escrow and will be released from escrow as follows</w:t>
      </w:r>
      <w:r w:rsidR="00E754FA" w:rsidRPr="008E4E4E">
        <w:rPr>
          <w:rFonts w:ascii="Times" w:eastAsia="Times" w:hAnsi="Times" w:cs="Times"/>
          <w:color w:val="191919"/>
        </w:rPr>
        <w:t xml:space="preserve">: </w:t>
      </w:r>
      <w:r w:rsidR="008E4E4E" w:rsidRPr="008E4E4E">
        <w:rPr>
          <w:rFonts w:ascii="Times" w:eastAsia="Times" w:hAnsi="Times" w:cs="Times"/>
          <w:color w:val="191919"/>
        </w:rPr>
        <w:t>ten</w:t>
      </w:r>
      <w:r w:rsidR="00E754FA" w:rsidRPr="008E4E4E">
        <w:rPr>
          <w:rFonts w:ascii="Times" w:eastAsia="Times" w:hAnsi="Times" w:cs="Times"/>
          <w:color w:val="191919"/>
        </w:rPr>
        <w:t xml:space="preserve"> percent (</w:t>
      </w:r>
      <w:r w:rsidR="008E4E4E" w:rsidRPr="008E4E4E">
        <w:rPr>
          <w:rFonts w:ascii="Times" w:eastAsia="Times" w:hAnsi="Times" w:cs="Times"/>
          <w:color w:val="191919"/>
        </w:rPr>
        <w:t>10</w:t>
      </w:r>
      <w:r w:rsidR="00E754FA" w:rsidRPr="008E4E4E">
        <w:rPr>
          <w:rFonts w:ascii="Times" w:eastAsia="Times" w:hAnsi="Times" w:cs="Times"/>
          <w:color w:val="191919"/>
        </w:rPr>
        <w:t xml:space="preserve">%) of the escrowed shares will be released from escrow on the issuance of the Final Exchange Bulletin, </w:t>
      </w:r>
      <w:r w:rsidR="008E4E4E" w:rsidRPr="008E4E4E">
        <w:rPr>
          <w:rFonts w:ascii="Times" w:eastAsia="Times" w:hAnsi="Times" w:cs="Times"/>
          <w:color w:val="191919"/>
        </w:rPr>
        <w:t>fifteen</w:t>
      </w:r>
      <w:r w:rsidR="00E754FA" w:rsidRPr="008E4E4E">
        <w:rPr>
          <w:rFonts w:ascii="Times" w:eastAsia="Times" w:hAnsi="Times" w:cs="Times"/>
          <w:color w:val="191919"/>
        </w:rPr>
        <w:t xml:space="preserve"> percent (</w:t>
      </w:r>
      <w:r w:rsidR="008E4E4E" w:rsidRPr="008E4E4E">
        <w:rPr>
          <w:rFonts w:ascii="Times" w:eastAsia="Times" w:hAnsi="Times" w:cs="Times"/>
          <w:color w:val="191919"/>
        </w:rPr>
        <w:t>1</w:t>
      </w:r>
      <w:r w:rsidR="00E754FA" w:rsidRPr="008E4E4E">
        <w:rPr>
          <w:rFonts w:ascii="Times" w:eastAsia="Times" w:hAnsi="Times" w:cs="Times"/>
          <w:color w:val="191919"/>
        </w:rPr>
        <w:t>5%) will be released</w:t>
      </w:r>
      <w:r w:rsidR="008E4E4E" w:rsidRPr="008E4E4E">
        <w:rPr>
          <w:rFonts w:ascii="Times" w:eastAsia="Times" w:hAnsi="Times" w:cs="Times"/>
          <w:color w:val="191919"/>
        </w:rPr>
        <w:t xml:space="preserve"> on each of the</w:t>
      </w:r>
      <w:r w:rsidR="00E754FA" w:rsidRPr="008E4E4E">
        <w:rPr>
          <w:rFonts w:ascii="Times" w:eastAsia="Times" w:hAnsi="Times" w:cs="Times"/>
          <w:color w:val="191919"/>
        </w:rPr>
        <w:t xml:space="preserve"> 6 months</w:t>
      </w:r>
      <w:r w:rsidR="008E4E4E" w:rsidRPr="008E4E4E">
        <w:rPr>
          <w:rFonts w:ascii="Times" w:eastAsia="Times" w:hAnsi="Times" w:cs="Times"/>
          <w:color w:val="191919"/>
        </w:rPr>
        <w:t>, 12 months, 18 months, 24 months, 30 months and 36 months</w:t>
      </w:r>
      <w:r w:rsidR="00E754FA" w:rsidRPr="008E4E4E">
        <w:rPr>
          <w:rFonts w:ascii="Times" w:eastAsia="Times" w:hAnsi="Times" w:cs="Times"/>
          <w:color w:val="191919"/>
        </w:rPr>
        <w:t xml:space="preserve"> thereafter</w:t>
      </w:r>
      <w:r w:rsidR="008E4E4E" w:rsidRPr="008E4E4E">
        <w:rPr>
          <w:rFonts w:ascii="Times" w:eastAsia="Times" w:hAnsi="Times" w:cs="Times"/>
          <w:color w:val="191919"/>
        </w:rPr>
        <w:t>.</w:t>
      </w:r>
    </w:p>
    <w:p w14:paraId="5DB63CDC" w14:textId="3349B7E9" w:rsidR="008D6C54" w:rsidRDefault="008D6C54" w:rsidP="00737A25">
      <w:pPr>
        <w:pBdr>
          <w:top w:val="nil"/>
          <w:left w:val="nil"/>
          <w:bottom w:val="nil"/>
          <w:right w:val="nil"/>
          <w:between w:val="nil"/>
        </w:pBdr>
        <w:ind w:left="360"/>
        <w:jc w:val="both"/>
        <w:rPr>
          <w:rFonts w:ascii="Times" w:eastAsia="Times" w:hAnsi="Times" w:cs="Times"/>
          <w:color w:val="191919"/>
        </w:rPr>
      </w:pPr>
    </w:p>
    <w:p w14:paraId="2E214661" w14:textId="299EA1E2" w:rsidR="008D6C54" w:rsidRDefault="008D6C54" w:rsidP="00737A25">
      <w:pPr>
        <w:pBdr>
          <w:top w:val="nil"/>
          <w:left w:val="nil"/>
          <w:bottom w:val="nil"/>
          <w:right w:val="nil"/>
          <w:between w:val="nil"/>
        </w:pBdr>
        <w:ind w:left="360"/>
        <w:jc w:val="both"/>
        <w:rPr>
          <w:rFonts w:ascii="Times" w:eastAsia="Times" w:hAnsi="Times" w:cs="Times"/>
          <w:b/>
          <w:bCs/>
          <w:color w:val="191919"/>
        </w:rPr>
      </w:pPr>
      <w:r>
        <w:rPr>
          <w:rFonts w:ascii="Times" w:eastAsia="Times" w:hAnsi="Times" w:cs="Times"/>
          <w:b/>
          <w:bCs/>
          <w:color w:val="191919"/>
        </w:rPr>
        <w:t>New Board and Management</w:t>
      </w:r>
    </w:p>
    <w:p w14:paraId="45B52641" w14:textId="51896C92" w:rsidR="008D6C54" w:rsidRDefault="008D6C54" w:rsidP="00737A25">
      <w:pPr>
        <w:pBdr>
          <w:top w:val="nil"/>
          <w:left w:val="nil"/>
          <w:bottom w:val="nil"/>
          <w:right w:val="nil"/>
          <w:between w:val="nil"/>
        </w:pBdr>
        <w:ind w:left="360"/>
        <w:jc w:val="both"/>
        <w:rPr>
          <w:rFonts w:ascii="Times" w:eastAsia="Times" w:hAnsi="Times" w:cs="Times"/>
          <w:b/>
          <w:bCs/>
          <w:color w:val="191919"/>
        </w:rPr>
      </w:pPr>
    </w:p>
    <w:p w14:paraId="6DDA77A4"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 xml:space="preserve">On closing of the Transaction, David </w:t>
      </w:r>
      <w:proofErr w:type="spellStart"/>
      <w:r>
        <w:rPr>
          <w:rFonts w:ascii="Times" w:eastAsia="Times" w:hAnsi="Times" w:cs="Times"/>
          <w:color w:val="191919"/>
        </w:rPr>
        <w:t>Rosenkrantz</w:t>
      </w:r>
      <w:proofErr w:type="spellEnd"/>
      <w:r>
        <w:rPr>
          <w:rFonts w:ascii="Times" w:eastAsia="Times" w:hAnsi="Times" w:cs="Times"/>
          <w:color w:val="191919"/>
        </w:rPr>
        <w:t xml:space="preserve">, Daniel </w:t>
      </w:r>
      <w:proofErr w:type="spellStart"/>
      <w:r>
        <w:rPr>
          <w:rFonts w:ascii="Times" w:eastAsia="Times" w:hAnsi="Times" w:cs="Times"/>
          <w:color w:val="191919"/>
        </w:rPr>
        <w:t>Tobon</w:t>
      </w:r>
      <w:proofErr w:type="spellEnd"/>
      <w:r>
        <w:rPr>
          <w:rFonts w:ascii="Times" w:eastAsia="Times" w:hAnsi="Times" w:cs="Times"/>
          <w:color w:val="191919"/>
        </w:rPr>
        <w:t xml:space="preserve">, </w:t>
      </w:r>
      <w:proofErr w:type="spellStart"/>
      <w:r>
        <w:rPr>
          <w:rFonts w:ascii="Times" w:eastAsia="Times" w:hAnsi="Times" w:cs="Times"/>
          <w:color w:val="191919"/>
        </w:rPr>
        <w:t>Ilana</w:t>
      </w:r>
      <w:proofErr w:type="spellEnd"/>
      <w:r>
        <w:rPr>
          <w:rFonts w:ascii="Times" w:eastAsia="Times" w:hAnsi="Times" w:cs="Times"/>
          <w:color w:val="191919"/>
        </w:rPr>
        <w:t xml:space="preserve"> </w:t>
      </w:r>
      <w:proofErr w:type="spellStart"/>
      <w:r>
        <w:rPr>
          <w:rFonts w:ascii="Times" w:eastAsia="Times" w:hAnsi="Times" w:cs="Times"/>
          <w:color w:val="191919"/>
        </w:rPr>
        <w:t>Prussky</w:t>
      </w:r>
      <w:proofErr w:type="spellEnd"/>
      <w:r>
        <w:rPr>
          <w:rFonts w:ascii="Times" w:eastAsia="Times" w:hAnsi="Times" w:cs="Times"/>
          <w:color w:val="191919"/>
        </w:rPr>
        <w:t xml:space="preserve">, John A. </w:t>
      </w:r>
      <w:proofErr w:type="spellStart"/>
      <w:r>
        <w:rPr>
          <w:rFonts w:ascii="Times" w:eastAsia="Times" w:hAnsi="Times" w:cs="Times"/>
          <w:color w:val="191919"/>
        </w:rPr>
        <w:t>Leja</w:t>
      </w:r>
      <w:proofErr w:type="spellEnd"/>
      <w:r>
        <w:rPr>
          <w:rFonts w:ascii="Times" w:eastAsia="Times" w:hAnsi="Times" w:cs="Times"/>
          <w:color w:val="191919"/>
        </w:rPr>
        <w:t xml:space="preserve">, Maurice Kagan and </w:t>
      </w:r>
      <w:proofErr w:type="spellStart"/>
      <w:r>
        <w:rPr>
          <w:rFonts w:ascii="Times" w:eastAsia="Times" w:hAnsi="Times" w:cs="Times"/>
          <w:color w:val="191919"/>
        </w:rPr>
        <w:t>Shael</w:t>
      </w:r>
      <w:proofErr w:type="spellEnd"/>
      <w:r>
        <w:rPr>
          <w:rFonts w:ascii="Times" w:eastAsia="Times" w:hAnsi="Times" w:cs="Times"/>
          <w:color w:val="191919"/>
        </w:rPr>
        <w:t xml:space="preserve"> </w:t>
      </w:r>
      <w:proofErr w:type="spellStart"/>
      <w:r>
        <w:rPr>
          <w:rFonts w:ascii="Times" w:eastAsia="Times" w:hAnsi="Times" w:cs="Times"/>
          <w:color w:val="191919"/>
        </w:rPr>
        <w:t>Soberano</w:t>
      </w:r>
      <w:proofErr w:type="spellEnd"/>
      <w:r>
        <w:rPr>
          <w:rFonts w:ascii="Times" w:eastAsia="Times" w:hAnsi="Times" w:cs="Times"/>
          <w:color w:val="191919"/>
        </w:rPr>
        <w:t xml:space="preserve"> resigned as the directors and officers of the Company.</w:t>
      </w:r>
    </w:p>
    <w:p w14:paraId="712CD080"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p>
    <w:p w14:paraId="5F47BD80"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On closing, the following individuals were appointed as directors and officers of the Company:</w:t>
      </w:r>
    </w:p>
    <w:p w14:paraId="5E3DD335"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p>
    <w:p w14:paraId="04DC6DD3"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John Carter – CEO and Director</w:t>
      </w:r>
    </w:p>
    <w:p w14:paraId="176DFBC4"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 xml:space="preserve">Ron </w:t>
      </w:r>
      <w:proofErr w:type="spellStart"/>
      <w:r>
        <w:rPr>
          <w:rFonts w:ascii="Times" w:eastAsia="Times" w:hAnsi="Times" w:cs="Times"/>
          <w:color w:val="191919"/>
        </w:rPr>
        <w:t>Wortel</w:t>
      </w:r>
      <w:proofErr w:type="spellEnd"/>
      <w:r>
        <w:rPr>
          <w:rFonts w:ascii="Times" w:eastAsia="Times" w:hAnsi="Times" w:cs="Times"/>
          <w:color w:val="191919"/>
        </w:rPr>
        <w:t xml:space="preserve"> – President and Director</w:t>
      </w:r>
    </w:p>
    <w:p w14:paraId="716045F2"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Ron Murphy – Vice President Mining and Director</w:t>
      </w:r>
    </w:p>
    <w:p w14:paraId="15685A84"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Eric Balog – Director</w:t>
      </w:r>
    </w:p>
    <w:p w14:paraId="5F652855"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J. Birks Bovaird – Director</w:t>
      </w:r>
    </w:p>
    <w:p w14:paraId="46C92F6D"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Peter Clausi – Vice President Capital Markets and Director</w:t>
      </w:r>
    </w:p>
    <w:p w14:paraId="2F2D4DAD" w14:textId="086A039B"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 xml:space="preserve">Jon </w:t>
      </w:r>
      <w:proofErr w:type="spellStart"/>
      <w:r>
        <w:rPr>
          <w:rFonts w:ascii="Times" w:eastAsia="Times" w:hAnsi="Times" w:cs="Times"/>
          <w:color w:val="191919"/>
        </w:rPr>
        <w:t>Wi</w:t>
      </w:r>
      <w:r w:rsidR="00552AFB">
        <w:rPr>
          <w:rFonts w:ascii="Times" w:eastAsia="Times" w:hAnsi="Times" w:cs="Times"/>
          <w:color w:val="191919"/>
        </w:rPr>
        <w:t>e</w:t>
      </w:r>
      <w:r>
        <w:rPr>
          <w:rFonts w:ascii="Times" w:eastAsia="Times" w:hAnsi="Times" w:cs="Times"/>
          <w:color w:val="191919"/>
        </w:rPr>
        <w:t>sblatt</w:t>
      </w:r>
      <w:proofErr w:type="spellEnd"/>
      <w:r>
        <w:rPr>
          <w:rFonts w:ascii="Times" w:eastAsia="Times" w:hAnsi="Times" w:cs="Times"/>
          <w:color w:val="191919"/>
        </w:rPr>
        <w:t xml:space="preserve"> – Director</w:t>
      </w:r>
    </w:p>
    <w:p w14:paraId="7809C0F5"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Brian Crawford – Chief Financial Officer and Corporate Secretary</w:t>
      </w:r>
    </w:p>
    <w:p w14:paraId="293C726A"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p>
    <w:p w14:paraId="0EFE0648" w14:textId="77777777" w:rsidR="00F04427" w:rsidRDefault="00F04427" w:rsidP="00F04427">
      <w:pPr>
        <w:pBdr>
          <w:top w:val="nil"/>
          <w:left w:val="nil"/>
          <w:bottom w:val="nil"/>
          <w:right w:val="nil"/>
          <w:between w:val="nil"/>
        </w:pBdr>
        <w:ind w:left="360"/>
        <w:jc w:val="both"/>
        <w:rPr>
          <w:rFonts w:ascii="Times" w:eastAsia="Times" w:hAnsi="Times" w:cs="Times"/>
          <w:color w:val="191919"/>
        </w:rPr>
      </w:pPr>
      <w:r>
        <w:rPr>
          <w:rFonts w:ascii="Times" w:eastAsia="Times" w:hAnsi="Times" w:cs="Times"/>
          <w:color w:val="191919"/>
        </w:rPr>
        <w:t xml:space="preserve">The incoming board of directors would like to thank Messrs. </w:t>
      </w:r>
      <w:proofErr w:type="spellStart"/>
      <w:r>
        <w:rPr>
          <w:rFonts w:ascii="Times" w:eastAsia="Times" w:hAnsi="Times" w:cs="Times"/>
          <w:color w:val="191919"/>
        </w:rPr>
        <w:t>Rosenkrantz</w:t>
      </w:r>
      <w:proofErr w:type="spellEnd"/>
      <w:r>
        <w:rPr>
          <w:rFonts w:ascii="Times" w:eastAsia="Times" w:hAnsi="Times" w:cs="Times"/>
          <w:color w:val="191919"/>
        </w:rPr>
        <w:t xml:space="preserve">, </w:t>
      </w:r>
      <w:proofErr w:type="spellStart"/>
      <w:r>
        <w:rPr>
          <w:rFonts w:ascii="Times" w:eastAsia="Times" w:hAnsi="Times" w:cs="Times"/>
          <w:color w:val="191919"/>
        </w:rPr>
        <w:t>Tobon</w:t>
      </w:r>
      <w:proofErr w:type="spellEnd"/>
      <w:r>
        <w:rPr>
          <w:rFonts w:ascii="Times" w:eastAsia="Times" w:hAnsi="Times" w:cs="Times"/>
          <w:color w:val="191919"/>
        </w:rPr>
        <w:t xml:space="preserve">, </w:t>
      </w:r>
      <w:proofErr w:type="spellStart"/>
      <w:r>
        <w:rPr>
          <w:rFonts w:ascii="Times" w:eastAsia="Times" w:hAnsi="Times" w:cs="Times"/>
          <w:color w:val="191919"/>
        </w:rPr>
        <w:t>Leja</w:t>
      </w:r>
      <w:proofErr w:type="spellEnd"/>
      <w:r>
        <w:rPr>
          <w:rFonts w:ascii="Times" w:eastAsia="Times" w:hAnsi="Times" w:cs="Times"/>
          <w:color w:val="191919"/>
        </w:rPr>
        <w:t xml:space="preserve">, Kagan and </w:t>
      </w:r>
      <w:proofErr w:type="spellStart"/>
      <w:r>
        <w:rPr>
          <w:rFonts w:ascii="Times" w:eastAsia="Times" w:hAnsi="Times" w:cs="Times"/>
          <w:color w:val="191919"/>
        </w:rPr>
        <w:t>Soberano</w:t>
      </w:r>
      <w:proofErr w:type="spellEnd"/>
      <w:r>
        <w:rPr>
          <w:rFonts w:ascii="Times" w:eastAsia="Times" w:hAnsi="Times" w:cs="Times"/>
          <w:color w:val="191919"/>
        </w:rPr>
        <w:t xml:space="preserve"> and Ms. </w:t>
      </w:r>
      <w:proofErr w:type="spellStart"/>
      <w:r>
        <w:rPr>
          <w:rFonts w:ascii="Times" w:eastAsia="Times" w:hAnsi="Times" w:cs="Times"/>
          <w:color w:val="191919"/>
        </w:rPr>
        <w:t>Prussky</w:t>
      </w:r>
      <w:proofErr w:type="spellEnd"/>
      <w:r>
        <w:rPr>
          <w:rFonts w:ascii="Times" w:eastAsia="Times" w:hAnsi="Times" w:cs="Times"/>
          <w:color w:val="191919"/>
        </w:rPr>
        <w:t xml:space="preserve"> for their contributions and service to the Company.</w:t>
      </w:r>
    </w:p>
    <w:p w14:paraId="781718AD" w14:textId="77777777" w:rsidR="00010D17" w:rsidRDefault="00010D17" w:rsidP="0003632B">
      <w:pPr>
        <w:pBdr>
          <w:top w:val="nil"/>
          <w:left w:val="nil"/>
          <w:bottom w:val="nil"/>
          <w:right w:val="nil"/>
          <w:between w:val="nil"/>
        </w:pBdr>
        <w:ind w:left="720"/>
        <w:rPr>
          <w:rFonts w:ascii="Times" w:eastAsia="Times" w:hAnsi="Times" w:cs="Times"/>
          <w:b/>
          <w:color w:val="191919"/>
        </w:rPr>
      </w:pPr>
    </w:p>
    <w:p w14:paraId="0000003B" w14:textId="7065450E" w:rsidR="003B40C8" w:rsidRDefault="00DA576D" w:rsidP="0003632B">
      <w:pPr>
        <w:pBdr>
          <w:top w:val="nil"/>
          <w:left w:val="nil"/>
          <w:bottom w:val="nil"/>
          <w:right w:val="nil"/>
          <w:between w:val="nil"/>
        </w:pBdr>
        <w:ind w:left="720"/>
        <w:rPr>
          <w:rFonts w:ascii="Times" w:eastAsia="Times" w:hAnsi="Times" w:cs="Times"/>
          <w:color w:val="191919"/>
        </w:rPr>
      </w:pPr>
      <w:r>
        <w:rPr>
          <w:rFonts w:ascii="Times" w:eastAsia="Times" w:hAnsi="Times" w:cs="Times"/>
          <w:b/>
          <w:color w:val="191919"/>
        </w:rPr>
        <w:t>For further information, please contact:</w:t>
      </w:r>
    </w:p>
    <w:p w14:paraId="0000003C" w14:textId="77777777" w:rsidR="003B40C8" w:rsidRDefault="003B40C8">
      <w:pPr>
        <w:rPr>
          <w:rFonts w:ascii="Times" w:eastAsia="Times" w:hAnsi="Times" w:cs="Times"/>
          <w:color w:val="191919"/>
        </w:rPr>
      </w:pPr>
    </w:p>
    <w:p w14:paraId="0000003D" w14:textId="38038371" w:rsidR="003B40C8" w:rsidRPr="008D6C54" w:rsidRDefault="00BC4F38" w:rsidP="0003632B">
      <w:pPr>
        <w:pBdr>
          <w:top w:val="nil"/>
          <w:left w:val="nil"/>
          <w:bottom w:val="nil"/>
          <w:right w:val="nil"/>
          <w:between w:val="nil"/>
        </w:pBdr>
        <w:ind w:left="720"/>
        <w:rPr>
          <w:rFonts w:ascii="Times" w:eastAsia="Times" w:hAnsi="Times" w:cs="Times"/>
          <w:color w:val="191919"/>
        </w:rPr>
      </w:pPr>
      <w:r w:rsidRPr="008D6C54">
        <w:rPr>
          <w:rFonts w:ascii="Times" w:eastAsia="Times" w:hAnsi="Times" w:cs="Times"/>
          <w:color w:val="191919"/>
        </w:rPr>
        <w:t>John Carter</w:t>
      </w:r>
      <w:r w:rsidR="00DA576D" w:rsidRPr="008D6C54">
        <w:rPr>
          <w:rFonts w:ascii="Times" w:eastAsia="Times" w:hAnsi="Times" w:cs="Times"/>
          <w:color w:val="191919"/>
        </w:rPr>
        <w:t> </w:t>
      </w:r>
      <w:r w:rsidR="00DA576D" w:rsidRPr="008D6C54">
        <w:rPr>
          <w:rFonts w:ascii="Times" w:eastAsia="Times" w:hAnsi="Times" w:cs="Times"/>
          <w:color w:val="191919"/>
        </w:rPr>
        <w:br/>
      </w:r>
      <w:r w:rsidRPr="008D6C54">
        <w:rPr>
          <w:rFonts w:ascii="Times" w:eastAsia="Times" w:hAnsi="Times" w:cs="Times"/>
          <w:color w:val="191919"/>
        </w:rPr>
        <w:t>Silver Bullet Mines</w:t>
      </w:r>
      <w:r w:rsidR="00DA576D" w:rsidRPr="008D6C54">
        <w:rPr>
          <w:rFonts w:ascii="Times" w:eastAsia="Times" w:hAnsi="Times" w:cs="Times"/>
          <w:color w:val="191919"/>
        </w:rPr>
        <w:t xml:space="preserve"> </w:t>
      </w:r>
      <w:r w:rsidR="007839D1">
        <w:rPr>
          <w:rFonts w:ascii="Times" w:eastAsia="Times" w:hAnsi="Times" w:cs="Times"/>
          <w:color w:val="191919"/>
        </w:rPr>
        <w:t>Corp</w:t>
      </w:r>
      <w:r w:rsidR="00DA576D" w:rsidRPr="008D6C54">
        <w:rPr>
          <w:rFonts w:ascii="Times" w:eastAsia="Times" w:hAnsi="Times" w:cs="Times"/>
          <w:color w:val="191919"/>
        </w:rPr>
        <w:t>.</w:t>
      </w:r>
      <w:r w:rsidR="00DA576D" w:rsidRPr="008D6C54">
        <w:rPr>
          <w:rFonts w:ascii="Times" w:eastAsia="Times" w:hAnsi="Times" w:cs="Times"/>
          <w:color w:val="191919"/>
        </w:rPr>
        <w:br/>
        <w:t>e: </w:t>
      </w:r>
      <w:r w:rsidR="00206A52">
        <w:rPr>
          <w:rFonts w:ascii="Times" w:eastAsia="Times" w:hAnsi="Times" w:cs="Times"/>
          <w:color w:val="191919"/>
          <w:u w:val="single"/>
        </w:rPr>
        <w:t>info</w:t>
      </w:r>
      <w:r w:rsidR="007E67DE" w:rsidRPr="008D6C54">
        <w:rPr>
          <w:rFonts w:ascii="Times" w:eastAsia="Times" w:hAnsi="Times" w:cs="Times"/>
          <w:color w:val="191919"/>
          <w:u w:val="single"/>
        </w:rPr>
        <w:t>@</w:t>
      </w:r>
      <w:r w:rsidR="00206A52">
        <w:rPr>
          <w:rFonts w:ascii="Times" w:eastAsia="Times" w:hAnsi="Times" w:cs="Times"/>
          <w:color w:val="191919"/>
          <w:u w:val="single"/>
        </w:rPr>
        <w:t>silverbulletmines.com</w:t>
      </w:r>
      <w:r w:rsidR="00DA576D" w:rsidRPr="008D6C54">
        <w:rPr>
          <w:rFonts w:ascii="Times" w:eastAsia="Times" w:hAnsi="Times" w:cs="Times"/>
          <w:color w:val="191919"/>
          <w:u w:val="single"/>
        </w:rPr>
        <w:br/>
      </w:r>
      <w:r w:rsidR="00DA576D" w:rsidRPr="008D6C54">
        <w:rPr>
          <w:rFonts w:ascii="Times" w:eastAsia="Times" w:hAnsi="Times" w:cs="Times"/>
          <w:color w:val="191919"/>
        </w:rPr>
        <w:t xml:space="preserve">p: </w:t>
      </w:r>
      <w:r w:rsidR="008D6C54" w:rsidRPr="008D6C54">
        <w:rPr>
          <w:rFonts w:ascii="Times" w:eastAsia="Times" w:hAnsi="Times" w:cs="Times"/>
          <w:color w:val="191919"/>
        </w:rPr>
        <w:t>905-302-3843</w:t>
      </w:r>
    </w:p>
    <w:p w14:paraId="0000003E" w14:textId="77777777" w:rsidR="003B40C8" w:rsidRPr="00610D54" w:rsidRDefault="003B40C8">
      <w:pPr>
        <w:rPr>
          <w:rFonts w:ascii="Times" w:eastAsia="Times" w:hAnsi="Times" w:cs="Times"/>
          <w:color w:val="191919"/>
          <w:highlight w:val="yellow"/>
        </w:rPr>
      </w:pPr>
    </w:p>
    <w:p w14:paraId="00000040" w14:textId="77777777" w:rsidR="003B40C8" w:rsidRDefault="003B40C8">
      <w:pPr>
        <w:jc w:val="both"/>
        <w:rPr>
          <w:rFonts w:ascii="Times" w:eastAsia="Times" w:hAnsi="Times" w:cs="Times"/>
          <w:i/>
          <w:color w:val="191919"/>
        </w:rPr>
      </w:pPr>
    </w:p>
    <w:p w14:paraId="00000047" w14:textId="00C39E29" w:rsidR="003B40C8" w:rsidRPr="0049138F" w:rsidRDefault="00DA576D" w:rsidP="0003632B">
      <w:pPr>
        <w:pBdr>
          <w:top w:val="nil"/>
          <w:left w:val="nil"/>
          <w:bottom w:val="nil"/>
          <w:right w:val="nil"/>
          <w:between w:val="nil"/>
        </w:pBdr>
        <w:ind w:left="720"/>
        <w:jc w:val="both"/>
        <w:rPr>
          <w:rFonts w:ascii="Times" w:eastAsia="Times" w:hAnsi="Times" w:cs="Times"/>
          <w:i/>
          <w:color w:val="191919"/>
        </w:rPr>
      </w:pPr>
      <w:r w:rsidRPr="0049138F">
        <w:rPr>
          <w:rFonts w:ascii="Times" w:eastAsia="Times" w:hAnsi="Times" w:cs="Times"/>
          <w:i/>
          <w:color w:val="191919"/>
        </w:rPr>
        <w:t xml:space="preserve">Neither the </w:t>
      </w:r>
      <w:r w:rsidR="0049138F" w:rsidRPr="0049138F">
        <w:rPr>
          <w:rFonts w:ascii="Times" w:eastAsia="Times" w:hAnsi="Times" w:cs="Times"/>
          <w:i/>
          <w:color w:val="191919"/>
        </w:rPr>
        <w:t>Exchange</w:t>
      </w:r>
      <w:r w:rsidRPr="0049138F">
        <w:rPr>
          <w:rFonts w:ascii="Times" w:eastAsia="Times" w:hAnsi="Times" w:cs="Times"/>
          <w:i/>
          <w:color w:val="191919"/>
        </w:rPr>
        <w:t xml:space="preserve"> nor its Regulation Services Provider (as that term is defined in the policies of the </w:t>
      </w:r>
      <w:r w:rsidR="0049138F" w:rsidRPr="0049138F">
        <w:rPr>
          <w:rFonts w:ascii="Times" w:eastAsia="Times" w:hAnsi="Times" w:cs="Times"/>
          <w:i/>
          <w:color w:val="191919"/>
        </w:rPr>
        <w:t>Exchange</w:t>
      </w:r>
      <w:r w:rsidRPr="0049138F">
        <w:rPr>
          <w:rFonts w:ascii="Times" w:eastAsia="Times" w:hAnsi="Times" w:cs="Times"/>
          <w:i/>
          <w:color w:val="191919"/>
        </w:rPr>
        <w:t>) accepts responsibility for the adequacy or accuracy of this release.</w:t>
      </w:r>
    </w:p>
    <w:p w14:paraId="00000048" w14:textId="77777777" w:rsidR="003B40C8" w:rsidRPr="0049138F" w:rsidRDefault="003B40C8">
      <w:pPr>
        <w:jc w:val="both"/>
        <w:rPr>
          <w:rFonts w:ascii="Times" w:eastAsia="Times" w:hAnsi="Times" w:cs="Times"/>
          <w:i/>
          <w:color w:val="191919"/>
        </w:rPr>
      </w:pPr>
    </w:p>
    <w:p w14:paraId="64B70C99" w14:textId="6C6A049E" w:rsidR="0044210D" w:rsidRDefault="00DA576D" w:rsidP="00F04427">
      <w:pPr>
        <w:pBdr>
          <w:top w:val="nil"/>
          <w:left w:val="nil"/>
          <w:bottom w:val="nil"/>
          <w:right w:val="nil"/>
          <w:between w:val="nil"/>
        </w:pBdr>
        <w:ind w:left="720"/>
        <w:jc w:val="both"/>
        <w:rPr>
          <w:rFonts w:ascii="Times" w:eastAsia="Times" w:hAnsi="Times" w:cs="Times"/>
          <w:i/>
          <w:color w:val="191919"/>
        </w:rPr>
      </w:pPr>
      <w:r w:rsidRPr="0049138F">
        <w:rPr>
          <w:rFonts w:ascii="Times" w:eastAsia="Times" w:hAnsi="Times" w:cs="Times"/>
          <w:i/>
          <w:color w:val="191919"/>
        </w:rPr>
        <w:t>The securities referenced herein have not been, nor will be, registered under the United States Securities Act of 1933, as amended, and may not be offered or sold within the United States or to, or for the account or benefit of, U.S. persons absent U.S. registration or an applicable exemption from U.S. registration requirements. This release does not constitute an offer for sale of securities in the United States.</w:t>
      </w:r>
    </w:p>
    <w:p w14:paraId="3A40019B" w14:textId="448A79D7" w:rsidR="00F04427" w:rsidRDefault="00F04427" w:rsidP="00F04427">
      <w:pPr>
        <w:pBdr>
          <w:top w:val="nil"/>
          <w:left w:val="nil"/>
          <w:bottom w:val="nil"/>
          <w:right w:val="nil"/>
          <w:between w:val="nil"/>
        </w:pBdr>
        <w:ind w:left="720"/>
        <w:jc w:val="both"/>
        <w:rPr>
          <w:rFonts w:ascii="Times" w:eastAsia="Times" w:hAnsi="Times" w:cs="Times"/>
          <w:i/>
          <w:color w:val="191919"/>
        </w:rPr>
      </w:pPr>
    </w:p>
    <w:p w14:paraId="0F71017A" w14:textId="735BC308" w:rsidR="00F04427" w:rsidRPr="00F04427" w:rsidRDefault="00F04427" w:rsidP="00F04427">
      <w:pPr>
        <w:pBdr>
          <w:top w:val="nil"/>
          <w:left w:val="nil"/>
          <w:bottom w:val="nil"/>
          <w:right w:val="nil"/>
          <w:between w:val="nil"/>
        </w:pBdr>
        <w:ind w:left="720"/>
        <w:jc w:val="both"/>
        <w:rPr>
          <w:rFonts w:ascii="Times" w:eastAsia="Times" w:hAnsi="Times" w:cs="Times"/>
          <w:i/>
          <w:color w:val="191919"/>
        </w:rPr>
      </w:pPr>
      <w:r w:rsidRPr="00F04427">
        <w:rPr>
          <w:rFonts w:ascii="Times" w:eastAsia="Times" w:hAnsi="Times" w:cs="Times"/>
          <w:i/>
          <w:color w:val="191919"/>
        </w:rPr>
        <w:t xml:space="preserve">Investors are cautioned that, except as disclosed in the </w:t>
      </w:r>
      <w:r w:rsidR="00D941B8">
        <w:rPr>
          <w:rFonts w:ascii="Times" w:eastAsia="Times" w:hAnsi="Times" w:cs="Times"/>
          <w:i/>
          <w:color w:val="191919"/>
        </w:rPr>
        <w:t>F</w:t>
      </w:r>
      <w:r w:rsidRPr="00F04427">
        <w:rPr>
          <w:rFonts w:ascii="Times" w:eastAsia="Times" w:hAnsi="Times" w:cs="Times"/>
          <w:i/>
          <w:color w:val="191919"/>
        </w:rPr>
        <w:t xml:space="preserve">iling </w:t>
      </w:r>
      <w:r w:rsidR="00D941B8">
        <w:rPr>
          <w:rFonts w:ascii="Times" w:eastAsia="Times" w:hAnsi="Times" w:cs="Times"/>
          <w:i/>
          <w:color w:val="191919"/>
        </w:rPr>
        <w:t>S</w:t>
      </w:r>
      <w:r w:rsidRPr="00F04427">
        <w:rPr>
          <w:rFonts w:ascii="Times" w:eastAsia="Times" w:hAnsi="Times" w:cs="Times"/>
          <w:i/>
          <w:color w:val="191919"/>
        </w:rPr>
        <w:t xml:space="preserve">tatement, any information released or received with respect to the </w:t>
      </w:r>
      <w:r w:rsidR="00D941B8">
        <w:rPr>
          <w:rFonts w:ascii="Times" w:eastAsia="Times" w:hAnsi="Times" w:cs="Times"/>
          <w:i/>
          <w:color w:val="191919"/>
        </w:rPr>
        <w:t>Transaction</w:t>
      </w:r>
      <w:r w:rsidRPr="00F04427">
        <w:rPr>
          <w:rFonts w:ascii="Times" w:eastAsia="Times" w:hAnsi="Times" w:cs="Times"/>
          <w:i/>
          <w:color w:val="191919"/>
        </w:rPr>
        <w:t xml:space="preserve"> may not be accurate or complete and should not be relied upon.</w:t>
      </w:r>
    </w:p>
    <w:p w14:paraId="00000051" w14:textId="77777777" w:rsidR="003B40C8" w:rsidRDefault="003B40C8"/>
    <w:sectPr w:rsidR="003B40C8">
      <w:footerReference w:type="even"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95796" w14:textId="77777777" w:rsidR="00AF708C" w:rsidRDefault="00AF708C">
      <w:r>
        <w:separator/>
      </w:r>
    </w:p>
  </w:endnote>
  <w:endnote w:type="continuationSeparator" w:id="0">
    <w:p w14:paraId="0EBD9DAD" w14:textId="77777777" w:rsidR="00AF708C" w:rsidRDefault="00AF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4" w14:textId="77777777" w:rsidR="003B40C8" w:rsidRDefault="003B40C8">
    <w:pPr>
      <w:pBdr>
        <w:top w:val="nil"/>
        <w:left w:val="nil"/>
        <w:bottom w:val="nil"/>
        <w:right w:val="nil"/>
        <w:between w:val="nil"/>
      </w:pBdr>
      <w:tabs>
        <w:tab w:val="center" w:pos="4680"/>
        <w:tab w:val="right" w:pos="9360"/>
      </w:tabs>
      <w:jc w:val="right"/>
      <w:rPr>
        <w:color w:val="000000"/>
      </w:rPr>
    </w:pPr>
  </w:p>
  <w:p w14:paraId="00000055" w14:textId="77777777" w:rsidR="003B40C8" w:rsidRDefault="003B40C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2" w14:textId="77777777" w:rsidR="003B40C8" w:rsidRDefault="003B40C8">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p>
  <w:p w14:paraId="00000053" w14:textId="77777777" w:rsidR="003B40C8" w:rsidRDefault="003B40C8">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C6B0C" w14:textId="77777777" w:rsidR="00AF708C" w:rsidRDefault="00AF708C">
      <w:r>
        <w:separator/>
      </w:r>
    </w:p>
  </w:footnote>
  <w:footnote w:type="continuationSeparator" w:id="0">
    <w:p w14:paraId="66B0D277" w14:textId="77777777" w:rsidR="00AF708C" w:rsidRDefault="00AF7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F2EC9"/>
    <w:multiLevelType w:val="multilevel"/>
    <w:tmpl w:val="3A926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DE40C29"/>
    <w:multiLevelType w:val="multilevel"/>
    <w:tmpl w:val="7A6A9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C8"/>
    <w:rsid w:val="00010D17"/>
    <w:rsid w:val="0003632B"/>
    <w:rsid w:val="00060596"/>
    <w:rsid w:val="000704F8"/>
    <w:rsid w:val="00104597"/>
    <w:rsid w:val="0013320D"/>
    <w:rsid w:val="001546B9"/>
    <w:rsid w:val="0017762E"/>
    <w:rsid w:val="00186D21"/>
    <w:rsid w:val="00196DD3"/>
    <w:rsid w:val="001971C8"/>
    <w:rsid w:val="001E05F9"/>
    <w:rsid w:val="001F2928"/>
    <w:rsid w:val="00206A52"/>
    <w:rsid w:val="00287327"/>
    <w:rsid w:val="002935D1"/>
    <w:rsid w:val="002B2409"/>
    <w:rsid w:val="00326C54"/>
    <w:rsid w:val="00335B1C"/>
    <w:rsid w:val="00372FAA"/>
    <w:rsid w:val="00374B88"/>
    <w:rsid w:val="00390AC9"/>
    <w:rsid w:val="00390CE7"/>
    <w:rsid w:val="003A475B"/>
    <w:rsid w:val="003B40C8"/>
    <w:rsid w:val="003F3CD7"/>
    <w:rsid w:val="003F7A51"/>
    <w:rsid w:val="0044210D"/>
    <w:rsid w:val="0049138F"/>
    <w:rsid w:val="00494141"/>
    <w:rsid w:val="004D7524"/>
    <w:rsid w:val="00552AFB"/>
    <w:rsid w:val="005623C5"/>
    <w:rsid w:val="005E64A2"/>
    <w:rsid w:val="00610D54"/>
    <w:rsid w:val="00665E8F"/>
    <w:rsid w:val="00692E0C"/>
    <w:rsid w:val="006A26CA"/>
    <w:rsid w:val="006F35B5"/>
    <w:rsid w:val="00723FE4"/>
    <w:rsid w:val="00733F2D"/>
    <w:rsid w:val="00737A25"/>
    <w:rsid w:val="00742DF7"/>
    <w:rsid w:val="00751CDE"/>
    <w:rsid w:val="00771218"/>
    <w:rsid w:val="007839D1"/>
    <w:rsid w:val="007B3557"/>
    <w:rsid w:val="007C3B5E"/>
    <w:rsid w:val="007D28D6"/>
    <w:rsid w:val="007D410F"/>
    <w:rsid w:val="007E67DE"/>
    <w:rsid w:val="007F0C6D"/>
    <w:rsid w:val="008117D5"/>
    <w:rsid w:val="008455C2"/>
    <w:rsid w:val="00856B6E"/>
    <w:rsid w:val="00870D21"/>
    <w:rsid w:val="00881AE1"/>
    <w:rsid w:val="008842AC"/>
    <w:rsid w:val="008D6C54"/>
    <w:rsid w:val="008E4E4E"/>
    <w:rsid w:val="009178C3"/>
    <w:rsid w:val="00922018"/>
    <w:rsid w:val="009331D6"/>
    <w:rsid w:val="00942DEF"/>
    <w:rsid w:val="00997CEE"/>
    <w:rsid w:val="009B615C"/>
    <w:rsid w:val="00A32747"/>
    <w:rsid w:val="00A83123"/>
    <w:rsid w:val="00AD7FF3"/>
    <w:rsid w:val="00AF708C"/>
    <w:rsid w:val="00B0229E"/>
    <w:rsid w:val="00B049B8"/>
    <w:rsid w:val="00B66190"/>
    <w:rsid w:val="00B83E34"/>
    <w:rsid w:val="00BB2E4C"/>
    <w:rsid w:val="00BC42BF"/>
    <w:rsid w:val="00BC4F38"/>
    <w:rsid w:val="00BC6FC1"/>
    <w:rsid w:val="00BF3C66"/>
    <w:rsid w:val="00BF41CE"/>
    <w:rsid w:val="00C02FFF"/>
    <w:rsid w:val="00C26D6E"/>
    <w:rsid w:val="00C57053"/>
    <w:rsid w:val="00CC2C63"/>
    <w:rsid w:val="00CD6BFD"/>
    <w:rsid w:val="00D1060F"/>
    <w:rsid w:val="00D5165A"/>
    <w:rsid w:val="00D62187"/>
    <w:rsid w:val="00D941B8"/>
    <w:rsid w:val="00DA4443"/>
    <w:rsid w:val="00DA576D"/>
    <w:rsid w:val="00E708CD"/>
    <w:rsid w:val="00E754FA"/>
    <w:rsid w:val="00EB1993"/>
    <w:rsid w:val="00EB2287"/>
    <w:rsid w:val="00EC4086"/>
    <w:rsid w:val="00F04427"/>
    <w:rsid w:val="00F22CF3"/>
    <w:rsid w:val="00F60631"/>
    <w:rsid w:val="00F65752"/>
    <w:rsid w:val="00F84D78"/>
    <w:rsid w:val="00FB3162"/>
    <w:rsid w:val="00FB5B4D"/>
    <w:rsid w:val="00FC5172"/>
    <w:rsid w:val="00FF6E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3734"/>
  <w15:docId w15:val="{AA43C9C3-411F-4CE0-A69C-E8BC2530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ascii="Arial" w:eastAsia="Arial" w:hAnsi="Arial" w:cs="Arial"/>
      <w:b/>
      <w:sz w:val="52"/>
      <w:szCs w:val="52"/>
    </w:rPr>
  </w:style>
  <w:style w:type="paragraph" w:styleId="Subtitle">
    <w:name w:val="Subtitle"/>
    <w:basedOn w:val="Normal"/>
    <w:next w:val="Normal"/>
    <w:uiPriority w:val="11"/>
    <w:qFormat/>
    <w:pPr>
      <w:spacing w:after="160"/>
    </w:pPr>
    <w:rPr>
      <w:color w:val="5A5A5A"/>
      <w:sz w:val="22"/>
      <w:szCs w:val="22"/>
    </w:rPr>
  </w:style>
  <w:style w:type="paragraph" w:styleId="ListParagraph">
    <w:name w:val="List Paragraph"/>
    <w:basedOn w:val="Normal"/>
    <w:uiPriority w:val="34"/>
    <w:qFormat/>
    <w:rsid w:val="00F60631"/>
    <w:pPr>
      <w:ind w:left="720"/>
      <w:contextualSpacing/>
    </w:pPr>
  </w:style>
  <w:style w:type="paragraph" w:styleId="BalloonText">
    <w:name w:val="Balloon Text"/>
    <w:basedOn w:val="Normal"/>
    <w:link w:val="BalloonTextChar"/>
    <w:uiPriority w:val="99"/>
    <w:semiHidden/>
    <w:unhideWhenUsed/>
    <w:rsid w:val="007D4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10F"/>
    <w:rPr>
      <w:rFonts w:ascii="Segoe UI" w:hAnsi="Segoe UI" w:cs="Segoe UI"/>
      <w:sz w:val="18"/>
      <w:szCs w:val="18"/>
    </w:rPr>
  </w:style>
  <w:style w:type="character" w:styleId="CommentReference">
    <w:name w:val="annotation reference"/>
    <w:basedOn w:val="DefaultParagraphFont"/>
    <w:uiPriority w:val="99"/>
    <w:semiHidden/>
    <w:unhideWhenUsed/>
    <w:rsid w:val="00D5165A"/>
    <w:rPr>
      <w:sz w:val="16"/>
      <w:szCs w:val="16"/>
    </w:rPr>
  </w:style>
  <w:style w:type="paragraph" w:styleId="CommentText">
    <w:name w:val="annotation text"/>
    <w:basedOn w:val="Normal"/>
    <w:link w:val="CommentTextChar"/>
    <w:uiPriority w:val="99"/>
    <w:semiHidden/>
    <w:unhideWhenUsed/>
    <w:rsid w:val="00D5165A"/>
    <w:rPr>
      <w:sz w:val="20"/>
      <w:szCs w:val="20"/>
    </w:rPr>
  </w:style>
  <w:style w:type="character" w:customStyle="1" w:styleId="CommentTextChar">
    <w:name w:val="Comment Text Char"/>
    <w:basedOn w:val="DefaultParagraphFont"/>
    <w:link w:val="CommentText"/>
    <w:uiPriority w:val="99"/>
    <w:semiHidden/>
    <w:rsid w:val="00D5165A"/>
    <w:rPr>
      <w:sz w:val="20"/>
      <w:szCs w:val="20"/>
    </w:rPr>
  </w:style>
  <w:style w:type="paragraph" w:styleId="CommentSubject">
    <w:name w:val="annotation subject"/>
    <w:basedOn w:val="CommentText"/>
    <w:next w:val="CommentText"/>
    <w:link w:val="CommentSubjectChar"/>
    <w:uiPriority w:val="99"/>
    <w:semiHidden/>
    <w:unhideWhenUsed/>
    <w:rsid w:val="00D5165A"/>
    <w:rPr>
      <w:b/>
      <w:bCs/>
    </w:rPr>
  </w:style>
  <w:style w:type="character" w:customStyle="1" w:styleId="CommentSubjectChar">
    <w:name w:val="Comment Subject Char"/>
    <w:basedOn w:val="CommentTextChar"/>
    <w:link w:val="CommentSubject"/>
    <w:uiPriority w:val="99"/>
    <w:semiHidden/>
    <w:rsid w:val="00D5165A"/>
    <w:rPr>
      <w:b/>
      <w:bCs/>
      <w:sz w:val="20"/>
      <w:szCs w:val="20"/>
    </w:rPr>
  </w:style>
  <w:style w:type="paragraph" w:styleId="Revision">
    <w:name w:val="Revision"/>
    <w:hidden/>
    <w:uiPriority w:val="99"/>
    <w:semiHidden/>
    <w:rsid w:val="00D5165A"/>
  </w:style>
  <w:style w:type="character" w:styleId="Hyperlink">
    <w:name w:val="Hyperlink"/>
    <w:basedOn w:val="DefaultParagraphFont"/>
    <w:uiPriority w:val="99"/>
    <w:unhideWhenUsed/>
    <w:rsid w:val="008117D5"/>
    <w:rPr>
      <w:color w:val="0000FF" w:themeColor="hyperlink"/>
      <w:u w:val="single"/>
    </w:rPr>
  </w:style>
  <w:style w:type="character" w:customStyle="1" w:styleId="UnresolvedMention">
    <w:name w:val="Unresolved Mention"/>
    <w:basedOn w:val="DefaultParagraphFont"/>
    <w:uiPriority w:val="99"/>
    <w:semiHidden/>
    <w:unhideWhenUsed/>
    <w:rsid w:val="0081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08692">
      <w:bodyDiv w:val="1"/>
      <w:marLeft w:val="0"/>
      <w:marRight w:val="0"/>
      <w:marTop w:val="0"/>
      <w:marBottom w:val="0"/>
      <w:divBdr>
        <w:top w:val="none" w:sz="0" w:space="0" w:color="auto"/>
        <w:left w:val="none" w:sz="0" w:space="0" w:color="auto"/>
        <w:bottom w:val="none" w:sz="0" w:space="0" w:color="auto"/>
        <w:right w:val="none" w:sz="0" w:space="0" w:color="auto"/>
      </w:divBdr>
    </w:div>
    <w:div w:id="2063408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4276</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Higgins</dc:creator>
  <cp:lastModifiedBy>Sher</cp:lastModifiedBy>
  <cp:revision>2</cp:revision>
  <dcterms:created xsi:type="dcterms:W3CDTF">2021-12-01T18:29:00Z</dcterms:created>
  <dcterms:modified xsi:type="dcterms:W3CDTF">2021-12-01T18:29:00Z</dcterms:modified>
</cp:coreProperties>
</file>