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46EAD" w14:textId="77777777" w:rsidR="00A52595" w:rsidRPr="008B678B" w:rsidRDefault="00D91C7C" w:rsidP="002F4A13">
      <w:pPr>
        <w:spacing w:after="0"/>
        <w:rPr>
          <w:rFonts w:cs="Calibri"/>
          <w:b/>
        </w:rPr>
      </w:pPr>
      <w:r w:rsidRPr="008B678B">
        <w:rPr>
          <w:rFonts w:cs="Calibri"/>
          <w:b/>
        </w:rPr>
        <w:t>THIS NEWS RLEASE IS NOT FOR DISTRIBUTION IN</w:t>
      </w:r>
      <w:r w:rsidR="002F4A13" w:rsidRPr="008B678B">
        <w:rPr>
          <w:rFonts w:cs="Calibri"/>
          <w:b/>
        </w:rPr>
        <w:t xml:space="preserve"> </w:t>
      </w:r>
      <w:r w:rsidRPr="008B678B">
        <w:rPr>
          <w:rFonts w:cs="Calibri"/>
          <w:b/>
        </w:rPr>
        <w:t>THE UNITED STATES OR TO U.S. NEWS AGENCIES</w:t>
      </w:r>
    </w:p>
    <w:p w14:paraId="0216C502" w14:textId="77777777" w:rsidR="00A52595" w:rsidRDefault="00A52595" w:rsidP="00A52595">
      <w:pPr>
        <w:tabs>
          <w:tab w:val="right" w:pos="9360"/>
        </w:tabs>
        <w:rPr>
          <w:rFonts w:eastAsia="Times New Roman"/>
          <w:b/>
          <w:bCs/>
        </w:rPr>
      </w:pPr>
    </w:p>
    <w:p w14:paraId="3E908F41" w14:textId="77777777" w:rsidR="00A52595" w:rsidRPr="0021138D" w:rsidRDefault="00D91C7C" w:rsidP="00A52595">
      <w:pPr>
        <w:tabs>
          <w:tab w:val="right" w:pos="9360"/>
        </w:tabs>
        <w:rPr>
          <w:rFonts w:eastAsia="Times New Roman"/>
        </w:rPr>
      </w:pPr>
      <w:r w:rsidRPr="0021138D">
        <w:rPr>
          <w:rFonts w:eastAsia="Times New Roman"/>
          <w:b/>
          <w:bCs/>
        </w:rPr>
        <w:t>For Immediate Release</w:t>
      </w:r>
      <w:r w:rsidRPr="0021138D">
        <w:rPr>
          <w:rFonts w:eastAsia="Times New Roman"/>
          <w:b/>
          <w:bCs/>
        </w:rPr>
        <w:tab/>
      </w:r>
    </w:p>
    <w:p w14:paraId="4AD48CED" w14:textId="77777777" w:rsidR="00A52595" w:rsidRPr="0021138D" w:rsidRDefault="00D91C7C" w:rsidP="00A52595">
      <w:pPr>
        <w:jc w:val="center"/>
        <w:rPr>
          <w:rFonts w:eastAsia="Times New Roman"/>
          <w:b/>
          <w:bCs/>
        </w:rPr>
      </w:pPr>
      <w:r>
        <w:rPr>
          <w:rFonts w:eastAsia="Times New Roman"/>
          <w:b/>
          <w:bCs/>
        </w:rPr>
        <w:t>NEW WAVE</w:t>
      </w:r>
      <w:r>
        <w:rPr>
          <w:rFonts w:eastAsiaTheme="minorEastAsia"/>
          <w:b/>
          <w:bCs/>
          <w:lang w:eastAsia="zh-HK"/>
        </w:rPr>
        <w:t xml:space="preserve"> </w:t>
      </w:r>
      <w:r w:rsidR="0092789B">
        <w:rPr>
          <w:rFonts w:eastAsiaTheme="minorEastAsia"/>
          <w:b/>
          <w:bCs/>
          <w:lang w:eastAsia="zh-HK"/>
        </w:rPr>
        <w:t xml:space="preserve">PROVIDES UPDATE </w:t>
      </w:r>
      <w:r>
        <w:rPr>
          <w:rFonts w:eastAsiaTheme="minorEastAsia"/>
          <w:b/>
          <w:bCs/>
          <w:lang w:eastAsia="zh-HK"/>
        </w:rPr>
        <w:t xml:space="preserve">TO SPIN-OUT </w:t>
      </w:r>
      <w:r w:rsidR="0092789B">
        <w:rPr>
          <w:rFonts w:eastAsiaTheme="minorEastAsia"/>
          <w:b/>
          <w:bCs/>
          <w:lang w:eastAsia="zh-HK"/>
        </w:rPr>
        <w:t xml:space="preserve">OF </w:t>
      </w:r>
      <w:r>
        <w:rPr>
          <w:rFonts w:eastAsiaTheme="minorEastAsia"/>
          <w:b/>
          <w:bCs/>
          <w:lang w:eastAsia="zh-HK"/>
        </w:rPr>
        <w:t xml:space="preserve">WAY OF WILL </w:t>
      </w:r>
    </w:p>
    <w:p w14:paraId="572F488C" w14:textId="5112CDA2" w:rsidR="00BE65B8" w:rsidRDefault="00D91C7C" w:rsidP="0092789B">
      <w:pPr>
        <w:jc w:val="both"/>
        <w:rPr>
          <w:rFonts w:eastAsia="Times New Roman"/>
        </w:rPr>
      </w:pPr>
      <w:r>
        <w:rPr>
          <w:rFonts w:eastAsia="Times New Roman"/>
          <w:b/>
          <w:bCs/>
        </w:rPr>
        <w:t xml:space="preserve">TORONTO, </w:t>
      </w:r>
      <w:r w:rsidR="00BA6CE9">
        <w:rPr>
          <w:rFonts w:eastAsia="Times New Roman"/>
          <w:b/>
          <w:bCs/>
        </w:rPr>
        <w:t>December</w:t>
      </w:r>
      <w:r w:rsidR="0092789B">
        <w:rPr>
          <w:rFonts w:eastAsia="Times New Roman"/>
          <w:b/>
          <w:bCs/>
        </w:rPr>
        <w:t xml:space="preserve"> </w:t>
      </w:r>
      <w:r w:rsidR="004E3B36">
        <w:rPr>
          <w:rFonts w:eastAsia="Times New Roman"/>
          <w:b/>
          <w:bCs/>
        </w:rPr>
        <w:t>1</w:t>
      </w:r>
      <w:r w:rsidR="00FE6DC2">
        <w:rPr>
          <w:rFonts w:eastAsia="Times New Roman"/>
          <w:b/>
          <w:bCs/>
        </w:rPr>
        <w:t>5</w:t>
      </w:r>
      <w:r w:rsidR="00D56359">
        <w:rPr>
          <w:rFonts w:eastAsia="Times New Roman"/>
          <w:b/>
          <w:bCs/>
        </w:rPr>
        <w:t xml:space="preserve">, 2021 </w:t>
      </w:r>
      <w:bookmarkStart w:id="0" w:name="_GoBack"/>
      <w:bookmarkEnd w:id="0"/>
      <w:r w:rsidR="002F4A13" w:rsidRPr="002F4A13">
        <w:rPr>
          <w:rFonts w:eastAsia="Times New Roman"/>
          <w:b/>
          <w:bCs/>
        </w:rPr>
        <w:t xml:space="preserve"> - NEW WAVE HOLDINGS CORP. (the "Company" or "New Wave") (CSE: SPOR</w:t>
      </w:r>
      <w:r w:rsidR="002F4A13">
        <w:rPr>
          <w:rFonts w:eastAsia="Times New Roman"/>
          <w:b/>
          <w:bCs/>
        </w:rPr>
        <w:t xml:space="preserve">) (FWB: 0XM2) (OTCPK: TRMNF) </w:t>
      </w:r>
      <w:r w:rsidR="002F4A13" w:rsidRPr="002F4A13">
        <w:rPr>
          <w:rFonts w:eastAsia="Times New Roman"/>
          <w:bCs/>
        </w:rPr>
        <w:t>an investment issuer that provides capital and support services</w:t>
      </w:r>
      <w:r w:rsidR="002F4A13">
        <w:rPr>
          <w:rFonts w:eastAsia="Times New Roman"/>
          <w:b/>
          <w:bCs/>
        </w:rPr>
        <w:t xml:space="preserve">, </w:t>
      </w:r>
      <w:r w:rsidR="0092789B">
        <w:rPr>
          <w:rFonts w:eastAsia="Times New Roman"/>
        </w:rPr>
        <w:t xml:space="preserve">provides an update to its </w:t>
      </w:r>
      <w:r w:rsidR="00A52595" w:rsidRPr="008B678B">
        <w:rPr>
          <w:rFonts w:eastAsia="Times New Roman"/>
        </w:rPr>
        <w:t>spin-out transaction (the “</w:t>
      </w:r>
      <w:r w:rsidR="00A52595" w:rsidRPr="008B678B">
        <w:rPr>
          <w:rFonts w:eastAsia="Times New Roman"/>
          <w:b/>
        </w:rPr>
        <w:t>Spin-out Transaction</w:t>
      </w:r>
      <w:r w:rsidR="00A52595" w:rsidRPr="008B678B">
        <w:rPr>
          <w:rFonts w:eastAsia="Times New Roman"/>
        </w:rPr>
        <w:t xml:space="preserve">”) </w:t>
      </w:r>
      <w:r w:rsidR="0092789B">
        <w:rPr>
          <w:rFonts w:eastAsia="Times New Roman"/>
        </w:rPr>
        <w:t xml:space="preserve">announced on May 21, 2021, </w:t>
      </w:r>
      <w:r w:rsidR="00A52595" w:rsidRPr="008B678B">
        <w:rPr>
          <w:rFonts w:eastAsia="Times New Roman"/>
        </w:rPr>
        <w:t xml:space="preserve">whereby a portion of the shares of its wholly owned subsidiary, </w:t>
      </w:r>
      <w:r w:rsidR="008B678B">
        <w:rPr>
          <w:rFonts w:eastAsia="Times New Roman"/>
        </w:rPr>
        <w:t>Way of Will Inc.</w:t>
      </w:r>
      <w:r w:rsidR="00A52595" w:rsidRPr="008B678B">
        <w:rPr>
          <w:rFonts w:eastAsia="Times New Roman"/>
        </w:rPr>
        <w:t xml:space="preserve"> (“</w:t>
      </w:r>
      <w:r w:rsidR="008B678B">
        <w:rPr>
          <w:rFonts w:eastAsia="Times New Roman"/>
          <w:b/>
        </w:rPr>
        <w:t>WoW</w:t>
      </w:r>
      <w:r w:rsidR="008B678B" w:rsidRPr="008B678B">
        <w:rPr>
          <w:rFonts w:eastAsia="Times New Roman"/>
        </w:rPr>
        <w:t xml:space="preserve">”) </w:t>
      </w:r>
      <w:r w:rsidR="00972D04">
        <w:rPr>
          <w:rFonts w:eastAsia="Times New Roman"/>
        </w:rPr>
        <w:t xml:space="preserve">will be </w:t>
      </w:r>
      <w:r w:rsidR="00A52595" w:rsidRPr="008B678B">
        <w:rPr>
          <w:rFonts w:eastAsia="Times New Roman"/>
        </w:rPr>
        <w:t xml:space="preserve">distributed pro-rata to shareholders of </w:t>
      </w:r>
      <w:r w:rsidR="00972D04">
        <w:rPr>
          <w:rFonts w:eastAsia="Times New Roman"/>
        </w:rPr>
        <w:t>New Wave</w:t>
      </w:r>
      <w:r w:rsidR="00A52595" w:rsidRPr="008B678B">
        <w:rPr>
          <w:rFonts w:eastAsia="Times New Roman"/>
        </w:rPr>
        <w:t xml:space="preserve">, by way of a dividend-in-kind.  </w:t>
      </w:r>
    </w:p>
    <w:p w14:paraId="4BFF04A4" w14:textId="77777777" w:rsidR="0092789B" w:rsidRDefault="00D91C7C" w:rsidP="0092789B">
      <w:pPr>
        <w:jc w:val="both"/>
        <w:rPr>
          <w:rFonts w:eastAsia="Times New Roman"/>
        </w:rPr>
      </w:pPr>
      <w:r>
        <w:rPr>
          <w:rFonts w:eastAsia="Times New Roman"/>
        </w:rPr>
        <w:t xml:space="preserve">The Company has set </w:t>
      </w:r>
      <w:r w:rsidR="003D4F31">
        <w:rPr>
          <w:rFonts w:eastAsia="Times New Roman"/>
        </w:rPr>
        <w:t>December 17</w:t>
      </w:r>
      <w:r>
        <w:rPr>
          <w:rFonts w:eastAsia="Times New Roman"/>
        </w:rPr>
        <w:t>, 2021 as the record date (the “</w:t>
      </w:r>
      <w:r w:rsidRPr="0092789B">
        <w:rPr>
          <w:rFonts w:eastAsia="Times New Roman"/>
          <w:b/>
        </w:rPr>
        <w:t>Record Date</w:t>
      </w:r>
      <w:r>
        <w:rPr>
          <w:rFonts w:eastAsia="Times New Roman"/>
        </w:rPr>
        <w:t>”)</w:t>
      </w:r>
      <w:r w:rsidR="00BA6CE9">
        <w:rPr>
          <w:rFonts w:eastAsia="Times New Roman"/>
        </w:rPr>
        <w:t xml:space="preserve"> for the Spin-out Transaction.</w:t>
      </w:r>
    </w:p>
    <w:p w14:paraId="1161E2FE" w14:textId="77777777" w:rsidR="0092789B" w:rsidRDefault="00D91C7C" w:rsidP="0092789B">
      <w:pPr>
        <w:jc w:val="both"/>
      </w:pPr>
      <w:r w:rsidRPr="0092789B">
        <w:rPr>
          <w:b/>
        </w:rPr>
        <w:t xml:space="preserve">Capital Distribution of </w:t>
      </w:r>
      <w:r>
        <w:rPr>
          <w:b/>
        </w:rPr>
        <w:t>WoW</w:t>
      </w:r>
      <w:r w:rsidRPr="0092789B">
        <w:rPr>
          <w:b/>
        </w:rPr>
        <w:t xml:space="preserve"> shares to Shareholders of </w:t>
      </w:r>
      <w:r>
        <w:rPr>
          <w:b/>
        </w:rPr>
        <w:t>New Wave</w:t>
      </w:r>
    </w:p>
    <w:p w14:paraId="734DF4D3" w14:textId="77777777" w:rsidR="00E83C66" w:rsidRDefault="00D91C7C" w:rsidP="0092789B">
      <w:pPr>
        <w:jc w:val="both"/>
      </w:pPr>
      <w:r>
        <w:t>The spin-out of WoW will happen in the form of a distribution of shares (the “</w:t>
      </w:r>
      <w:r w:rsidRPr="0092789B">
        <w:rPr>
          <w:b/>
        </w:rPr>
        <w:t>Shares</w:t>
      </w:r>
      <w:r>
        <w:t>”) of WoW to holders (the “</w:t>
      </w:r>
      <w:r w:rsidRPr="0092789B">
        <w:rPr>
          <w:b/>
        </w:rPr>
        <w:t>New Wave Shareholders</w:t>
      </w:r>
      <w:r>
        <w:t>”) of common shares of WoW (the “</w:t>
      </w:r>
      <w:r w:rsidRPr="005D2A90">
        <w:rPr>
          <w:b/>
        </w:rPr>
        <w:t>WoW Shares</w:t>
      </w:r>
      <w:r>
        <w:t>”), other than New Wave Shareholders residing in Quebec and the United States (the “</w:t>
      </w:r>
      <w:r w:rsidRPr="0092789B">
        <w:rPr>
          <w:b/>
        </w:rPr>
        <w:t>Distribution</w:t>
      </w:r>
      <w:r>
        <w:t>”). New Wave Shareholders residing in Quebec and the United States (the “</w:t>
      </w:r>
      <w:r w:rsidRPr="0092789B">
        <w:rPr>
          <w:b/>
        </w:rPr>
        <w:t>Ineligible Holders</w:t>
      </w:r>
      <w:r>
        <w:t xml:space="preserve">”) will receive cash instead of Shares pursuant to the spin-out, as explained below. All New Wave Shareholders of record at the close of business on the Record Date will be entitled to receive </w:t>
      </w:r>
      <w:r w:rsidR="00F56F22">
        <w:t>0.3061</w:t>
      </w:r>
      <w:r>
        <w:t xml:space="preserve"> Share for every one New Wave share held, other than the Ineligible Holders. New Wave Shareholders are not required to pay for the Shares they receive by way of the Distribution, to tender or surrender their New Wave shares, or to take any other action in connection with the Distribution. The Distribution is expected to be completed on </w:t>
      </w:r>
      <w:r w:rsidR="000064C6">
        <w:t xml:space="preserve">or around </w:t>
      </w:r>
      <w:r w:rsidR="00BA6CE9">
        <w:t>January</w:t>
      </w:r>
      <w:r w:rsidR="000064C6">
        <w:t xml:space="preserve"> </w:t>
      </w:r>
      <w:r w:rsidR="00D164EE">
        <w:t>24</w:t>
      </w:r>
      <w:r>
        <w:t xml:space="preserve">, </w:t>
      </w:r>
      <w:r w:rsidR="00D164EE">
        <w:t>2022</w:t>
      </w:r>
      <w:r>
        <w:t xml:space="preserve">. </w:t>
      </w:r>
    </w:p>
    <w:p w14:paraId="10B63898" w14:textId="77777777" w:rsidR="00E83C66" w:rsidRDefault="00D91C7C" w:rsidP="0092789B">
      <w:pPr>
        <w:jc w:val="both"/>
      </w:pPr>
      <w:r w:rsidRPr="00E83C66">
        <w:rPr>
          <w:b/>
        </w:rPr>
        <w:t>Spin-out to Ineligible Holders</w:t>
      </w:r>
      <w:r>
        <w:t xml:space="preserve"> </w:t>
      </w:r>
    </w:p>
    <w:p w14:paraId="39A5CF19" w14:textId="77777777" w:rsidR="0092789B" w:rsidRPr="00BE65B8" w:rsidRDefault="00D91C7C" w:rsidP="0092789B">
      <w:pPr>
        <w:jc w:val="both"/>
        <w:rPr>
          <w:rFonts w:eastAsia="Times New Roman"/>
        </w:rPr>
      </w:pPr>
      <w:r>
        <w:t xml:space="preserve">As described in </w:t>
      </w:r>
      <w:r w:rsidR="00E83C66">
        <w:t>further detail in WoW’s</w:t>
      </w:r>
      <w:r>
        <w:t xml:space="preserve"> final prospectus dated </w:t>
      </w:r>
      <w:r w:rsidR="00BA6CE9">
        <w:t>December</w:t>
      </w:r>
      <w:r w:rsidR="000064C6">
        <w:t xml:space="preserve"> </w:t>
      </w:r>
      <w:r w:rsidR="00BA6CE9">
        <w:rPr>
          <w:rFonts w:cs="Calibri"/>
        </w:rPr>
        <w:t>13</w:t>
      </w:r>
      <w:r w:rsidR="00E83C66">
        <w:t>, 2021</w:t>
      </w:r>
      <w:r>
        <w:t xml:space="preserve">, no Shares will be issued to Ineligible Holders. Rather, such Shares will be delivered to a custodian for sale in the open market following the Distribution, and the net cash proceeds will be delivered to Ineligible Holders, net of any withholding taxes (if applicable). </w:t>
      </w:r>
      <w:r w:rsidR="00E83C66">
        <w:t xml:space="preserve">New Wave </w:t>
      </w:r>
      <w:r>
        <w:t xml:space="preserve">Shareholders who want to ensure that they receive their Shares should complete and return a “Declaration of Residency” form on or before </w:t>
      </w:r>
      <w:r w:rsidR="00BA6CE9">
        <w:t>January</w:t>
      </w:r>
      <w:r w:rsidR="000064C6">
        <w:t xml:space="preserve"> </w:t>
      </w:r>
      <w:r w:rsidR="005D2A90">
        <w:t>17</w:t>
      </w:r>
      <w:r w:rsidR="00D164EE">
        <w:t>, 2022</w:t>
      </w:r>
      <w:r>
        <w:t xml:space="preserve"> (such form is available on </w:t>
      </w:r>
      <w:r w:rsidR="00E83C66">
        <w:t>New Wave</w:t>
      </w:r>
      <w:r>
        <w:t xml:space="preserve">’s </w:t>
      </w:r>
      <w:r w:rsidR="005D2A90">
        <w:t>SEDAR profile at www.sedar.com</w:t>
      </w:r>
      <w:r>
        <w:t xml:space="preserve">). </w:t>
      </w:r>
      <w:r w:rsidR="00E83C66">
        <w:t xml:space="preserve">New Wave </w:t>
      </w:r>
      <w:r>
        <w:t xml:space="preserve">Shareholders who hold their </w:t>
      </w:r>
      <w:r w:rsidR="00E83C66">
        <w:t>New Wave s</w:t>
      </w:r>
      <w:r>
        <w:t>hares through a brokerage or other account are urged to contact their brokers to ensure that they are not deemed to be Ineligible Holders.</w:t>
      </w:r>
    </w:p>
    <w:p w14:paraId="2906CE8C" w14:textId="77777777" w:rsidR="00BE65B8" w:rsidRPr="00BE65B8" w:rsidRDefault="00D91C7C" w:rsidP="00BE65B8">
      <w:pPr>
        <w:spacing w:before="240" w:after="0"/>
        <w:jc w:val="both"/>
        <w:rPr>
          <w:rFonts w:eastAsia="Times New Roman"/>
        </w:rPr>
      </w:pPr>
      <w:r w:rsidRPr="00BE65B8">
        <w:rPr>
          <w:rFonts w:eastAsia="Times New Roman"/>
        </w:rPr>
        <w:t xml:space="preserve">This news release does not constitute an offer to sell or the solicitation of an offer to buy securities in any jurisdiction. The </w:t>
      </w:r>
      <w:r>
        <w:rPr>
          <w:rFonts w:eastAsia="Times New Roman"/>
        </w:rPr>
        <w:t>WoW</w:t>
      </w:r>
      <w:r w:rsidRPr="00BE65B8">
        <w:rPr>
          <w:rFonts w:eastAsia="Times New Roman"/>
        </w:rPr>
        <w:t xml:space="preserve"> Shares to be distributed have not been approved or disapproved by any Canadian or U.S. regulatory authority nor has any such authority passed upon the accuracy or adequacy</w:t>
      </w:r>
      <w:r>
        <w:rPr>
          <w:rFonts w:eastAsia="Times New Roman"/>
        </w:rPr>
        <w:t xml:space="preserve"> of the preliminary prospectus.</w:t>
      </w:r>
    </w:p>
    <w:p w14:paraId="052E89E2" w14:textId="77777777" w:rsidR="00BE65B8" w:rsidRDefault="00D91C7C" w:rsidP="00BE65B8">
      <w:pPr>
        <w:spacing w:before="240" w:after="0"/>
        <w:jc w:val="both"/>
        <w:rPr>
          <w:rFonts w:eastAsia="Times New Roman"/>
        </w:rPr>
      </w:pPr>
      <w:r w:rsidRPr="00BE65B8">
        <w:rPr>
          <w:rFonts w:eastAsia="Times New Roman"/>
        </w:rPr>
        <w:lastRenderedPageBreak/>
        <w:t xml:space="preserve">The </w:t>
      </w:r>
      <w:r>
        <w:rPr>
          <w:rFonts w:eastAsia="Times New Roman"/>
        </w:rPr>
        <w:t>WoW</w:t>
      </w:r>
      <w:r w:rsidRPr="00BE65B8">
        <w:rPr>
          <w:rFonts w:eastAsia="Times New Roman"/>
        </w:rPr>
        <w:t xml:space="preserve"> Shares will not be distributed in any state or jurisdiction, including the United States, where an offer, solicitation or sale of the </w:t>
      </w:r>
      <w:r>
        <w:rPr>
          <w:rFonts w:eastAsia="Times New Roman"/>
        </w:rPr>
        <w:t>WoW</w:t>
      </w:r>
      <w:r w:rsidRPr="00BE65B8">
        <w:rPr>
          <w:rFonts w:eastAsia="Times New Roman"/>
        </w:rPr>
        <w:t xml:space="preserve"> Shares would be unlawful prior to registration or qualification under the securities laws of any such state or jurisdiction. Any public offering of securities to be made in the United States can only be made pursuant to an effective registration statement. The </w:t>
      </w:r>
      <w:r>
        <w:rPr>
          <w:rFonts w:eastAsia="Times New Roman"/>
        </w:rPr>
        <w:t>WoW</w:t>
      </w:r>
      <w:r w:rsidRPr="00BE65B8">
        <w:rPr>
          <w:rFonts w:eastAsia="Times New Roman"/>
        </w:rPr>
        <w:t xml:space="preserve"> Shares have not been registered under the United States Securities Act of 1933, as amended (the “</w:t>
      </w:r>
      <w:r w:rsidRPr="00BE65B8">
        <w:rPr>
          <w:rFonts w:eastAsia="Times New Roman"/>
          <w:b/>
        </w:rPr>
        <w:t>U.S. Securities Act</w:t>
      </w:r>
      <w:r w:rsidRPr="00BE65B8">
        <w:rPr>
          <w:rFonts w:eastAsia="Times New Roman"/>
        </w:rPr>
        <w:t xml:space="preserve">”), or any state securities laws, and the Company has no intention of filing such a registration statement in connection with the distribution of the </w:t>
      </w:r>
      <w:r>
        <w:rPr>
          <w:rFonts w:eastAsia="Times New Roman"/>
        </w:rPr>
        <w:t>WoW</w:t>
      </w:r>
      <w:r w:rsidRPr="00BE65B8">
        <w:rPr>
          <w:rFonts w:eastAsia="Times New Roman"/>
        </w:rPr>
        <w:t xml:space="preserve"> Shares. Accordingly, shareholders of the Company who are resident in the United States or who are U.S. persons (as defined in Rule 902 of Regulation S under the U.S. Securities Act) will not be entitled to participate in the distribution of the </w:t>
      </w:r>
      <w:r>
        <w:rPr>
          <w:rFonts w:eastAsia="Times New Roman"/>
        </w:rPr>
        <w:t>WoW</w:t>
      </w:r>
      <w:r w:rsidRPr="00BE65B8">
        <w:rPr>
          <w:rFonts w:eastAsia="Times New Roman"/>
        </w:rPr>
        <w:t xml:space="preserve"> Shares, except as set out above and in the preliminary prospectus of </w:t>
      </w:r>
      <w:r>
        <w:rPr>
          <w:rFonts w:eastAsia="Times New Roman"/>
        </w:rPr>
        <w:t>WoW</w:t>
      </w:r>
      <w:r w:rsidRPr="00BE65B8">
        <w:rPr>
          <w:rFonts w:eastAsia="Times New Roman"/>
        </w:rPr>
        <w:t>.</w:t>
      </w:r>
    </w:p>
    <w:p w14:paraId="656C5F58" w14:textId="77777777" w:rsidR="00972D04" w:rsidRPr="00E06B11" w:rsidRDefault="00D91C7C" w:rsidP="00972D04">
      <w:pPr>
        <w:spacing w:before="240" w:after="0"/>
        <w:jc w:val="both"/>
        <w:rPr>
          <w:rFonts w:eastAsia="Times New Roman"/>
          <w:b/>
        </w:rPr>
      </w:pPr>
      <w:r>
        <w:rPr>
          <w:rFonts w:eastAsia="Times New Roman"/>
          <w:b/>
        </w:rPr>
        <w:t>ABOUT NEW WAVE HOLDINGS CORP.</w:t>
      </w:r>
    </w:p>
    <w:p w14:paraId="09928E4F" w14:textId="77777777" w:rsidR="00972D04" w:rsidRPr="008B678B" w:rsidRDefault="00D91C7C" w:rsidP="00972D04">
      <w:pPr>
        <w:spacing w:before="240" w:after="0"/>
        <w:jc w:val="both"/>
        <w:rPr>
          <w:rFonts w:eastAsia="Times New Roman"/>
        </w:rPr>
      </w:pPr>
      <w:r w:rsidRPr="008B678B">
        <w:rPr>
          <w:rFonts w:eastAsia="Times New Roman"/>
        </w:rPr>
        <w:t>New Wave Holdings Corp. (CSE: SPOR, FWB: 0XM2, OTCPK: TRMNF) is an investment issuer focused on the burgeonin</w:t>
      </w:r>
      <w:r>
        <w:rPr>
          <w:rFonts w:eastAsia="Times New Roman"/>
        </w:rPr>
        <w:t xml:space="preserve">g nutraceutical and psychedelic </w:t>
      </w:r>
      <w:r w:rsidRPr="008B678B">
        <w:rPr>
          <w:rFonts w:eastAsia="Times New Roman"/>
        </w:rPr>
        <w:t>sector and support for adaptive and progressive health and wellness products and therapies. New Wave subsidiaries co</w:t>
      </w:r>
      <w:r>
        <w:rPr>
          <w:rFonts w:eastAsia="Times New Roman"/>
        </w:rPr>
        <w:t xml:space="preserve">ntain various health and beauty </w:t>
      </w:r>
      <w:r w:rsidRPr="008B678B">
        <w:rPr>
          <w:rFonts w:eastAsia="Times New Roman"/>
        </w:rPr>
        <w:t>products within its portfolio of non-psychoactive plants and fungi as it continues to expand its product distribution through vert</w:t>
      </w:r>
      <w:r>
        <w:rPr>
          <w:rFonts w:eastAsia="Times New Roman"/>
        </w:rPr>
        <w:t xml:space="preserve">ical integration to provide end </w:t>
      </w:r>
      <w:r w:rsidRPr="008B678B">
        <w:rPr>
          <w:rFonts w:eastAsia="Times New Roman"/>
        </w:rPr>
        <w:t>to end solutions while capturing a high margin business model.</w:t>
      </w:r>
    </w:p>
    <w:p w14:paraId="566A3049" w14:textId="77777777" w:rsidR="00972D04" w:rsidRPr="008B678B" w:rsidRDefault="00D91C7C" w:rsidP="00972D04">
      <w:pPr>
        <w:spacing w:before="240" w:after="0"/>
        <w:jc w:val="both"/>
        <w:rPr>
          <w:rFonts w:eastAsia="Times New Roman"/>
        </w:rPr>
      </w:pPr>
      <w:r w:rsidRPr="008B678B">
        <w:rPr>
          <w:rFonts w:eastAsia="Times New Roman"/>
        </w:rPr>
        <w:t>Investors interested in connecting with New Wave Holdings can learn more about the company and contact the team at http://newwavecorp.com.</w:t>
      </w:r>
    </w:p>
    <w:p w14:paraId="42CB3437" w14:textId="77777777" w:rsidR="00A52595" w:rsidRDefault="00D91C7C" w:rsidP="00A52595">
      <w:pPr>
        <w:spacing w:before="240" w:after="0"/>
        <w:jc w:val="both"/>
      </w:pPr>
      <w:r>
        <w:t xml:space="preserve">For further information please contact: </w:t>
      </w:r>
    </w:p>
    <w:p w14:paraId="089EF7B4" w14:textId="77777777" w:rsidR="008B678B" w:rsidRDefault="00D91C7C" w:rsidP="00A52595">
      <w:pPr>
        <w:spacing w:before="120" w:after="0"/>
        <w:rPr>
          <w:color w:val="0000FF"/>
        </w:rPr>
      </w:pPr>
      <w:r w:rsidRPr="00101328">
        <w:t xml:space="preserve">Willie Tsang, Interim Chief Executive Officer, New Wave Holdings Corp., </w:t>
      </w:r>
      <w:hyperlink r:id="rId8" w:history="1">
        <w:r w:rsidRPr="001A4801">
          <w:rPr>
            <w:rStyle w:val="Hyperlink"/>
          </w:rPr>
          <w:t>willie@newwavecorp.com</w:t>
        </w:r>
      </w:hyperlink>
    </w:p>
    <w:p w14:paraId="55916013" w14:textId="77777777" w:rsidR="00101328" w:rsidRDefault="00101328" w:rsidP="00A52595">
      <w:pPr>
        <w:spacing w:before="120" w:after="0"/>
        <w:rPr>
          <w:color w:val="0000FF"/>
        </w:rPr>
      </w:pPr>
    </w:p>
    <w:p w14:paraId="451F8EC5" w14:textId="77777777" w:rsidR="008B678B" w:rsidRPr="00101328" w:rsidRDefault="00D91C7C" w:rsidP="00101328">
      <w:pPr>
        <w:shd w:val="clear" w:color="auto" w:fill="FFFFFF"/>
        <w:spacing w:after="225" w:line="240" w:lineRule="auto"/>
        <w:jc w:val="both"/>
        <w:rPr>
          <w:rFonts w:eastAsia="Calibri" w:cs="Calibri"/>
          <w:b/>
          <w:color w:val="00000A"/>
        </w:rPr>
      </w:pPr>
      <w:r w:rsidRPr="008B678B">
        <w:rPr>
          <w:rFonts w:ascii="Times New Roman" w:eastAsia="Times New Roman" w:hAnsi="Times New Roman"/>
          <w:b/>
          <w:i/>
          <w:color w:val="00000A"/>
          <w:sz w:val="20"/>
          <w:szCs w:val="20"/>
        </w:rPr>
        <w:t>The Canadian Securities Exchange has not reviewed and does not accept responsibility for the adequacy or accuracy of the content of this news release.</w:t>
      </w:r>
    </w:p>
    <w:p w14:paraId="66B4FB8C" w14:textId="77777777" w:rsidR="00A52595" w:rsidRDefault="00D91C7C" w:rsidP="00A52595">
      <w:pPr>
        <w:spacing w:before="240" w:after="0"/>
        <w:rPr>
          <w:b/>
        </w:rPr>
      </w:pPr>
      <w:r w:rsidRPr="007D79E5">
        <w:rPr>
          <w:b/>
        </w:rPr>
        <w:t xml:space="preserve">CAUTIONARY STATEMENT ON FORWARD-LOOKING INFORMATION </w:t>
      </w:r>
    </w:p>
    <w:p w14:paraId="48231DD9" w14:textId="77777777" w:rsidR="00AB46E8" w:rsidRPr="007D79E5" w:rsidRDefault="00AB46E8" w:rsidP="00A52595">
      <w:pPr>
        <w:spacing w:before="240" w:after="0"/>
        <w:rPr>
          <w:b/>
        </w:rPr>
      </w:pPr>
    </w:p>
    <w:p w14:paraId="063CEE91" w14:textId="77777777" w:rsidR="007D53F4" w:rsidRDefault="00D91C7C" w:rsidP="00E83C66">
      <w:pPr>
        <w:jc w:val="both"/>
      </w:pPr>
      <w:r>
        <w:t>Certain statements contained in this news release may constitute forward–looking information, including but not limited to, applicable regulatory approval in connection with the Spin-Out Transaction.</w:t>
      </w:r>
    </w:p>
    <w:p w14:paraId="6A98F742" w14:textId="77777777" w:rsidR="00AA2697" w:rsidRPr="00A52595" w:rsidRDefault="00D91C7C" w:rsidP="00E83C66">
      <w:pPr>
        <w:jc w:val="both"/>
      </w:pPr>
      <w:r>
        <w:t>Forward–looking information is often, but not always, identified by the use of words such as "anticipate", "plan", "esti</w:t>
      </w:r>
      <w:r w:rsidR="007D53F4">
        <w:t xml:space="preserve">mate", </w:t>
      </w:r>
      <w:r>
        <w:t>"expect", "may", "will", "intend", "should", and similar expressions. Forward–looking information involves known and unknown</w:t>
      </w:r>
      <w:r w:rsidR="007D53F4">
        <w:t xml:space="preserve"> risks, uncertainties and other </w:t>
      </w:r>
      <w:r>
        <w:t>factors that may cause actual results or events to differ materially from those anticipated in such forward–looking in</w:t>
      </w:r>
      <w:r w:rsidR="007D53F4">
        <w:t xml:space="preserve">formation. The Company's actual </w:t>
      </w:r>
      <w:r>
        <w:t>results could differ materially from those anticipated in this forward–looking information as a result of competitive factors</w:t>
      </w:r>
      <w:r w:rsidR="007D53F4">
        <w:t xml:space="preserve"> and competition for investment </w:t>
      </w:r>
      <w:r>
        <w:t>opportunities, challenges relating to operations in international markets, transaction execution risk, changes to the Compan</w:t>
      </w:r>
      <w:r w:rsidR="007D53F4">
        <w:t xml:space="preserve">y's strategic growth plans, and </w:t>
      </w:r>
      <w:r>
        <w:t>other factors, many of which are beyond the control of the Company. The Company believes that the expectations reflected in the forward–lookin</w:t>
      </w:r>
      <w:r w:rsidR="007D53F4">
        <w:t xml:space="preserve">g </w:t>
      </w:r>
      <w:r>
        <w:t xml:space="preserve">information are reasonable </w:t>
      </w:r>
      <w:r>
        <w:lastRenderedPageBreak/>
        <w:t>based on current expectations, but no assurance can be giv</w:t>
      </w:r>
      <w:r w:rsidR="007D53F4">
        <w:t xml:space="preserve">en that these expectations will </w:t>
      </w:r>
      <w:r>
        <w:t>prove to be correct and such forward–looking information should not be unduly relied upon. Any forward–looking information</w:t>
      </w:r>
      <w:r w:rsidR="007D53F4">
        <w:t xml:space="preserve"> contained in this news release </w:t>
      </w:r>
      <w:r>
        <w:t>represents the Company's expectations as of the date hereof and is subject to change after such date. The Company discla</w:t>
      </w:r>
      <w:r w:rsidR="007D53F4">
        <w:t xml:space="preserve">ims any intention or obligation </w:t>
      </w:r>
      <w:r>
        <w:t>to update or revise any forward–looking information whether as a result of new information, future events or otherwise, e</w:t>
      </w:r>
      <w:r w:rsidR="007D53F4">
        <w:t xml:space="preserve">xcept as required by applicable </w:t>
      </w:r>
      <w:r>
        <w:t>securities legislation.</w:t>
      </w:r>
    </w:p>
    <w:sectPr w:rsidR="00AA2697" w:rsidRPr="00A52595" w:rsidSect="0095571D">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CD921" w14:textId="77777777" w:rsidR="001D0A5D" w:rsidRDefault="001D0A5D">
      <w:pPr>
        <w:spacing w:after="0" w:line="240" w:lineRule="auto"/>
      </w:pPr>
      <w:r>
        <w:separator/>
      </w:r>
    </w:p>
  </w:endnote>
  <w:endnote w:type="continuationSeparator" w:id="0">
    <w:p w14:paraId="4D4E9383" w14:textId="77777777" w:rsidR="001D0A5D" w:rsidRDefault="001D0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5A630" w14:textId="1384F000" w:rsidR="00AA2697" w:rsidRDefault="001D0A5D" w:rsidP="001E1948">
    <w:pPr>
      <w:rPr>
        <w:color w:val="000000"/>
      </w:rPr>
    </w:pPr>
    <w:r>
      <w:fldChar w:fldCharType="begin"/>
    </w:r>
    <w:r>
      <w:instrText xml:space="preserve"> DOCPROPERTY "DocID" \* MERGEFORMAT </w:instrText>
    </w:r>
    <w:r>
      <w:fldChar w:fldCharType="separate"/>
    </w:r>
    <w:r w:rsidR="007732AB" w:rsidRPr="007732AB">
      <w:rPr>
        <w:rStyle w:val="DocID"/>
      </w:rPr>
      <w:t>LEGAL_37426249.1</w:t>
    </w:r>
    <w:r>
      <w:rPr>
        <w:rStyle w:val="DocID"/>
      </w:rPr>
      <w:fldChar w:fldCharType="end"/>
    </w:r>
  </w:p>
  <w:p w14:paraId="1CD5316B" w14:textId="5A93A8D8" w:rsidR="00AA2697" w:rsidRDefault="001D0A5D" w:rsidP="001E1948">
    <w:pPr>
      <w:rPr>
        <w:color w:val="000000"/>
      </w:rPr>
    </w:pPr>
    <w:r>
      <w:fldChar w:fldCharType="begin"/>
    </w:r>
    <w:r>
      <w:instrText xml:space="preserve"> DOCPROPERTY "DocID" \* MERGEFORMAT </w:instrText>
    </w:r>
    <w:r>
      <w:fldChar w:fldCharType="separate"/>
    </w:r>
    <w:r w:rsidR="007732AB" w:rsidRPr="007732AB">
      <w:rPr>
        <w:rStyle w:val="DocID"/>
      </w:rPr>
      <w:t>LEGAL_37426249.1</w:t>
    </w:r>
    <w:r>
      <w:rPr>
        <w:rStyle w:val="Doc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602C9" w14:textId="2B1499A1" w:rsidR="00AA2697" w:rsidRDefault="001D0A5D" w:rsidP="001E1948">
    <w:pPr>
      <w:rPr>
        <w:color w:val="000000"/>
      </w:rPr>
    </w:pPr>
    <w:r>
      <w:fldChar w:fldCharType="begin"/>
    </w:r>
    <w:r>
      <w:instrText xml:space="preserve"> DOCPROPERTY "DocID" \* MERGEFORMAT </w:instrText>
    </w:r>
    <w:r>
      <w:fldChar w:fldCharType="separate"/>
    </w:r>
    <w:r w:rsidR="007732AB" w:rsidRPr="007732AB">
      <w:rPr>
        <w:rStyle w:val="DocID"/>
      </w:rPr>
      <w:t>LEGAL_37426249.1</w:t>
    </w:r>
    <w:r>
      <w:rPr>
        <w:rStyle w:val="Doc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61E03" w14:textId="2249EC43" w:rsidR="00AA2697" w:rsidRDefault="001D0A5D" w:rsidP="001E1948">
    <w:pPr>
      <w:rPr>
        <w:color w:val="000000"/>
      </w:rPr>
    </w:pPr>
    <w:r>
      <w:fldChar w:fldCharType="begin"/>
    </w:r>
    <w:r>
      <w:instrText xml:space="preserve"> DOCPROPERTY "DocID" \* MERGEFORMAT </w:instrText>
    </w:r>
    <w:r>
      <w:fldChar w:fldCharType="separate"/>
    </w:r>
    <w:r w:rsidR="007732AB" w:rsidRPr="007732AB">
      <w:rPr>
        <w:rStyle w:val="DocID"/>
      </w:rPr>
      <w:t>LEGAL_37426249.1</w:t>
    </w:r>
    <w:r>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0C306" w14:textId="77777777" w:rsidR="001D0A5D" w:rsidRDefault="001D0A5D">
      <w:pPr>
        <w:spacing w:after="0" w:line="240" w:lineRule="auto"/>
      </w:pPr>
      <w:r>
        <w:separator/>
      </w:r>
    </w:p>
  </w:footnote>
  <w:footnote w:type="continuationSeparator" w:id="0">
    <w:p w14:paraId="4FBEEAF0" w14:textId="77777777" w:rsidR="001D0A5D" w:rsidRDefault="001D0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A90F3" w14:textId="77777777" w:rsidR="00BA6CE9" w:rsidRDefault="00BA6C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201E4" w14:textId="0D3A6CBF" w:rsidR="0095571D" w:rsidRDefault="00D91C7C">
    <w:pPr>
      <w:pStyle w:val="Header"/>
      <w:jc w:val="center"/>
    </w:pPr>
    <w:r>
      <w:rPr>
        <w:noProof/>
      </w:rPr>
      <w:t xml:space="preserve">- </w:t>
    </w:r>
    <w:r>
      <w:fldChar w:fldCharType="begin"/>
    </w:r>
    <w:r>
      <w:instrText xml:space="preserve"> PAGE   \* MERGEFORMAT </w:instrText>
    </w:r>
    <w:r>
      <w:fldChar w:fldCharType="separate"/>
    </w:r>
    <w:r w:rsidR="00D56359">
      <w:rPr>
        <w:noProof/>
      </w:rPr>
      <w:t>3</w:t>
    </w:r>
    <w:r>
      <w:rPr>
        <w:noProof/>
      </w:rPr>
      <w:fldChar w:fldCharType="end"/>
    </w:r>
    <w:r>
      <w:rPr>
        <w:noProof/>
      </w:rPr>
      <w:t xml:space="preserve"> - </w:t>
    </w:r>
  </w:p>
  <w:p w14:paraId="2DDF63B1" w14:textId="77777777" w:rsidR="0095571D" w:rsidRDefault="009557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E325C" w14:textId="77777777" w:rsidR="00BA6CE9" w:rsidRDefault="00BA6CE9">
    <w:pPr>
      <w:pStyle w:val="Head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F61AD"/>
    <w:multiLevelType w:val="hybridMultilevel"/>
    <w:tmpl w:val="0A8A95C8"/>
    <w:lvl w:ilvl="0" w:tplc="0BE0090E">
      <w:start w:val="1"/>
      <w:numFmt w:val="bullet"/>
      <w:lvlText w:val=""/>
      <w:lvlJc w:val="left"/>
      <w:pPr>
        <w:ind w:left="720" w:hanging="360"/>
      </w:pPr>
      <w:rPr>
        <w:rFonts w:ascii="Wingdings" w:hAnsi="Wingdings" w:hint="default"/>
      </w:rPr>
    </w:lvl>
    <w:lvl w:ilvl="1" w:tplc="A656B5C8" w:tentative="1">
      <w:start w:val="1"/>
      <w:numFmt w:val="bullet"/>
      <w:lvlText w:val="o"/>
      <w:lvlJc w:val="left"/>
      <w:pPr>
        <w:ind w:left="1440" w:hanging="360"/>
      </w:pPr>
      <w:rPr>
        <w:rFonts w:ascii="Courier New" w:hAnsi="Courier New" w:cs="Courier New" w:hint="default"/>
      </w:rPr>
    </w:lvl>
    <w:lvl w:ilvl="2" w:tplc="283CFD0E" w:tentative="1">
      <w:start w:val="1"/>
      <w:numFmt w:val="bullet"/>
      <w:lvlText w:val=""/>
      <w:lvlJc w:val="left"/>
      <w:pPr>
        <w:ind w:left="2160" w:hanging="360"/>
      </w:pPr>
      <w:rPr>
        <w:rFonts w:ascii="Wingdings" w:hAnsi="Wingdings" w:hint="default"/>
      </w:rPr>
    </w:lvl>
    <w:lvl w:ilvl="3" w:tplc="88E2DBD4" w:tentative="1">
      <w:start w:val="1"/>
      <w:numFmt w:val="bullet"/>
      <w:lvlText w:val=""/>
      <w:lvlJc w:val="left"/>
      <w:pPr>
        <w:ind w:left="2880" w:hanging="360"/>
      </w:pPr>
      <w:rPr>
        <w:rFonts w:ascii="Symbol" w:hAnsi="Symbol" w:hint="default"/>
      </w:rPr>
    </w:lvl>
    <w:lvl w:ilvl="4" w:tplc="FF90F696" w:tentative="1">
      <w:start w:val="1"/>
      <w:numFmt w:val="bullet"/>
      <w:lvlText w:val="o"/>
      <w:lvlJc w:val="left"/>
      <w:pPr>
        <w:ind w:left="3600" w:hanging="360"/>
      </w:pPr>
      <w:rPr>
        <w:rFonts w:ascii="Courier New" w:hAnsi="Courier New" w:cs="Courier New" w:hint="default"/>
      </w:rPr>
    </w:lvl>
    <w:lvl w:ilvl="5" w:tplc="6FA4620C" w:tentative="1">
      <w:start w:val="1"/>
      <w:numFmt w:val="bullet"/>
      <w:lvlText w:val=""/>
      <w:lvlJc w:val="left"/>
      <w:pPr>
        <w:ind w:left="4320" w:hanging="360"/>
      </w:pPr>
      <w:rPr>
        <w:rFonts w:ascii="Wingdings" w:hAnsi="Wingdings" w:hint="default"/>
      </w:rPr>
    </w:lvl>
    <w:lvl w:ilvl="6" w:tplc="D52233D4" w:tentative="1">
      <w:start w:val="1"/>
      <w:numFmt w:val="bullet"/>
      <w:lvlText w:val=""/>
      <w:lvlJc w:val="left"/>
      <w:pPr>
        <w:ind w:left="5040" w:hanging="360"/>
      </w:pPr>
      <w:rPr>
        <w:rFonts w:ascii="Symbol" w:hAnsi="Symbol" w:hint="default"/>
      </w:rPr>
    </w:lvl>
    <w:lvl w:ilvl="7" w:tplc="A008CFFC" w:tentative="1">
      <w:start w:val="1"/>
      <w:numFmt w:val="bullet"/>
      <w:lvlText w:val="o"/>
      <w:lvlJc w:val="left"/>
      <w:pPr>
        <w:ind w:left="5760" w:hanging="360"/>
      </w:pPr>
      <w:rPr>
        <w:rFonts w:ascii="Courier New" w:hAnsi="Courier New" w:cs="Courier New" w:hint="default"/>
      </w:rPr>
    </w:lvl>
    <w:lvl w:ilvl="8" w:tplc="7D966FDE" w:tentative="1">
      <w:start w:val="1"/>
      <w:numFmt w:val="bullet"/>
      <w:lvlText w:val=""/>
      <w:lvlJc w:val="left"/>
      <w:pPr>
        <w:ind w:left="6480" w:hanging="360"/>
      </w:pPr>
      <w:rPr>
        <w:rFonts w:ascii="Wingdings" w:hAnsi="Wingdings" w:hint="default"/>
      </w:rPr>
    </w:lvl>
  </w:abstractNum>
  <w:abstractNum w:abstractNumId="1" w15:restartNumberingAfterBreak="0">
    <w:nsid w:val="1F913C2A"/>
    <w:multiLevelType w:val="hybridMultilevel"/>
    <w:tmpl w:val="91C60188"/>
    <w:lvl w:ilvl="0" w:tplc="8BD27E4A">
      <w:start w:val="1"/>
      <w:numFmt w:val="bullet"/>
      <w:lvlText w:val=""/>
      <w:lvlJc w:val="left"/>
      <w:pPr>
        <w:ind w:left="720" w:hanging="360"/>
      </w:pPr>
      <w:rPr>
        <w:rFonts w:ascii="Symbol" w:hAnsi="Symbol" w:hint="default"/>
      </w:rPr>
    </w:lvl>
    <w:lvl w:ilvl="1" w:tplc="759C61A0" w:tentative="1">
      <w:start w:val="1"/>
      <w:numFmt w:val="bullet"/>
      <w:lvlText w:val="o"/>
      <w:lvlJc w:val="left"/>
      <w:pPr>
        <w:ind w:left="1440" w:hanging="360"/>
      </w:pPr>
      <w:rPr>
        <w:rFonts w:ascii="Courier New" w:hAnsi="Courier New" w:cs="Courier New" w:hint="default"/>
      </w:rPr>
    </w:lvl>
    <w:lvl w:ilvl="2" w:tplc="AF527606" w:tentative="1">
      <w:start w:val="1"/>
      <w:numFmt w:val="bullet"/>
      <w:lvlText w:val=""/>
      <w:lvlJc w:val="left"/>
      <w:pPr>
        <w:ind w:left="2160" w:hanging="360"/>
      </w:pPr>
      <w:rPr>
        <w:rFonts w:ascii="Wingdings" w:hAnsi="Wingdings" w:hint="default"/>
      </w:rPr>
    </w:lvl>
    <w:lvl w:ilvl="3" w:tplc="4DB441EE" w:tentative="1">
      <w:start w:val="1"/>
      <w:numFmt w:val="bullet"/>
      <w:lvlText w:val=""/>
      <w:lvlJc w:val="left"/>
      <w:pPr>
        <w:ind w:left="2880" w:hanging="360"/>
      </w:pPr>
      <w:rPr>
        <w:rFonts w:ascii="Symbol" w:hAnsi="Symbol" w:hint="default"/>
      </w:rPr>
    </w:lvl>
    <w:lvl w:ilvl="4" w:tplc="DC80A7C6" w:tentative="1">
      <w:start w:val="1"/>
      <w:numFmt w:val="bullet"/>
      <w:lvlText w:val="o"/>
      <w:lvlJc w:val="left"/>
      <w:pPr>
        <w:ind w:left="3600" w:hanging="360"/>
      </w:pPr>
      <w:rPr>
        <w:rFonts w:ascii="Courier New" w:hAnsi="Courier New" w:cs="Courier New" w:hint="default"/>
      </w:rPr>
    </w:lvl>
    <w:lvl w:ilvl="5" w:tplc="FEB2A760" w:tentative="1">
      <w:start w:val="1"/>
      <w:numFmt w:val="bullet"/>
      <w:lvlText w:val=""/>
      <w:lvlJc w:val="left"/>
      <w:pPr>
        <w:ind w:left="4320" w:hanging="360"/>
      </w:pPr>
      <w:rPr>
        <w:rFonts w:ascii="Wingdings" w:hAnsi="Wingdings" w:hint="default"/>
      </w:rPr>
    </w:lvl>
    <w:lvl w:ilvl="6" w:tplc="915E3412" w:tentative="1">
      <w:start w:val="1"/>
      <w:numFmt w:val="bullet"/>
      <w:lvlText w:val=""/>
      <w:lvlJc w:val="left"/>
      <w:pPr>
        <w:ind w:left="5040" w:hanging="360"/>
      </w:pPr>
      <w:rPr>
        <w:rFonts w:ascii="Symbol" w:hAnsi="Symbol" w:hint="default"/>
      </w:rPr>
    </w:lvl>
    <w:lvl w:ilvl="7" w:tplc="1F7E9C7C" w:tentative="1">
      <w:start w:val="1"/>
      <w:numFmt w:val="bullet"/>
      <w:lvlText w:val="o"/>
      <w:lvlJc w:val="left"/>
      <w:pPr>
        <w:ind w:left="5760" w:hanging="360"/>
      </w:pPr>
      <w:rPr>
        <w:rFonts w:ascii="Courier New" w:hAnsi="Courier New" w:cs="Courier New" w:hint="default"/>
      </w:rPr>
    </w:lvl>
    <w:lvl w:ilvl="8" w:tplc="D3B44956" w:tentative="1">
      <w:start w:val="1"/>
      <w:numFmt w:val="bullet"/>
      <w:lvlText w:val=""/>
      <w:lvlJc w:val="left"/>
      <w:pPr>
        <w:ind w:left="6480" w:hanging="360"/>
      </w:pPr>
      <w:rPr>
        <w:rFonts w:ascii="Wingdings" w:hAnsi="Wingdings" w:hint="default"/>
      </w:rPr>
    </w:lvl>
  </w:abstractNum>
  <w:abstractNum w:abstractNumId="2" w15:restartNumberingAfterBreak="0">
    <w:nsid w:val="536769C7"/>
    <w:multiLevelType w:val="hybridMultilevel"/>
    <w:tmpl w:val="9356F56C"/>
    <w:lvl w:ilvl="0" w:tplc="F69EC3F2">
      <w:start w:val="1"/>
      <w:numFmt w:val="bullet"/>
      <w:lvlText w:val=""/>
      <w:lvlJc w:val="left"/>
      <w:pPr>
        <w:ind w:left="720" w:hanging="360"/>
      </w:pPr>
      <w:rPr>
        <w:rFonts w:ascii="Symbol" w:hAnsi="Symbol" w:hint="default"/>
      </w:rPr>
    </w:lvl>
    <w:lvl w:ilvl="1" w:tplc="AA84FBFC" w:tentative="1">
      <w:start w:val="1"/>
      <w:numFmt w:val="bullet"/>
      <w:lvlText w:val="o"/>
      <w:lvlJc w:val="left"/>
      <w:pPr>
        <w:ind w:left="1440" w:hanging="360"/>
      </w:pPr>
      <w:rPr>
        <w:rFonts w:ascii="Courier New" w:hAnsi="Courier New" w:hint="default"/>
      </w:rPr>
    </w:lvl>
    <w:lvl w:ilvl="2" w:tplc="897CD8FA" w:tentative="1">
      <w:start w:val="1"/>
      <w:numFmt w:val="bullet"/>
      <w:lvlText w:val=""/>
      <w:lvlJc w:val="left"/>
      <w:pPr>
        <w:ind w:left="2160" w:hanging="360"/>
      </w:pPr>
      <w:rPr>
        <w:rFonts w:ascii="Wingdings" w:hAnsi="Wingdings" w:hint="default"/>
      </w:rPr>
    </w:lvl>
    <w:lvl w:ilvl="3" w:tplc="729EB7E0" w:tentative="1">
      <w:start w:val="1"/>
      <w:numFmt w:val="bullet"/>
      <w:lvlText w:val=""/>
      <w:lvlJc w:val="left"/>
      <w:pPr>
        <w:ind w:left="2880" w:hanging="360"/>
      </w:pPr>
      <w:rPr>
        <w:rFonts w:ascii="Symbol" w:hAnsi="Symbol" w:hint="default"/>
      </w:rPr>
    </w:lvl>
    <w:lvl w:ilvl="4" w:tplc="94ACEF80" w:tentative="1">
      <w:start w:val="1"/>
      <w:numFmt w:val="bullet"/>
      <w:lvlText w:val="o"/>
      <w:lvlJc w:val="left"/>
      <w:pPr>
        <w:ind w:left="3600" w:hanging="360"/>
      </w:pPr>
      <w:rPr>
        <w:rFonts w:ascii="Courier New" w:hAnsi="Courier New" w:hint="default"/>
      </w:rPr>
    </w:lvl>
    <w:lvl w:ilvl="5" w:tplc="833882C0" w:tentative="1">
      <w:start w:val="1"/>
      <w:numFmt w:val="bullet"/>
      <w:lvlText w:val=""/>
      <w:lvlJc w:val="left"/>
      <w:pPr>
        <w:ind w:left="4320" w:hanging="360"/>
      </w:pPr>
      <w:rPr>
        <w:rFonts w:ascii="Wingdings" w:hAnsi="Wingdings" w:hint="default"/>
      </w:rPr>
    </w:lvl>
    <w:lvl w:ilvl="6" w:tplc="95C091A0" w:tentative="1">
      <w:start w:val="1"/>
      <w:numFmt w:val="bullet"/>
      <w:lvlText w:val=""/>
      <w:lvlJc w:val="left"/>
      <w:pPr>
        <w:ind w:left="5040" w:hanging="360"/>
      </w:pPr>
      <w:rPr>
        <w:rFonts w:ascii="Symbol" w:hAnsi="Symbol" w:hint="default"/>
      </w:rPr>
    </w:lvl>
    <w:lvl w:ilvl="7" w:tplc="51B625DC" w:tentative="1">
      <w:start w:val="1"/>
      <w:numFmt w:val="bullet"/>
      <w:lvlText w:val="o"/>
      <w:lvlJc w:val="left"/>
      <w:pPr>
        <w:ind w:left="5760" w:hanging="360"/>
      </w:pPr>
      <w:rPr>
        <w:rFonts w:ascii="Courier New" w:hAnsi="Courier New" w:hint="default"/>
      </w:rPr>
    </w:lvl>
    <w:lvl w:ilvl="8" w:tplc="C7F2395C"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D40"/>
    <w:rsid w:val="000064C6"/>
    <w:rsid w:val="00055615"/>
    <w:rsid w:val="000835E1"/>
    <w:rsid w:val="000D1B8F"/>
    <w:rsid w:val="000F1793"/>
    <w:rsid w:val="000F3BA5"/>
    <w:rsid w:val="00101328"/>
    <w:rsid w:val="00130717"/>
    <w:rsid w:val="00137436"/>
    <w:rsid w:val="0019655E"/>
    <w:rsid w:val="001A1D1C"/>
    <w:rsid w:val="001A47C6"/>
    <w:rsid w:val="001A4801"/>
    <w:rsid w:val="001B7EF3"/>
    <w:rsid w:val="001D0A5D"/>
    <w:rsid w:val="001E1948"/>
    <w:rsid w:val="001E1B45"/>
    <w:rsid w:val="001E31F8"/>
    <w:rsid w:val="0021138D"/>
    <w:rsid w:val="00241EC1"/>
    <w:rsid w:val="002622F8"/>
    <w:rsid w:val="00262AFC"/>
    <w:rsid w:val="00274778"/>
    <w:rsid w:val="002F4A13"/>
    <w:rsid w:val="00334C78"/>
    <w:rsid w:val="00350B3A"/>
    <w:rsid w:val="00360C5F"/>
    <w:rsid w:val="003D4F31"/>
    <w:rsid w:val="003F3D41"/>
    <w:rsid w:val="00422D83"/>
    <w:rsid w:val="004A3E62"/>
    <w:rsid w:val="004A734A"/>
    <w:rsid w:val="004E3B36"/>
    <w:rsid w:val="004F5857"/>
    <w:rsid w:val="0051148B"/>
    <w:rsid w:val="0051629F"/>
    <w:rsid w:val="0053618B"/>
    <w:rsid w:val="0054588B"/>
    <w:rsid w:val="00562972"/>
    <w:rsid w:val="00585CDF"/>
    <w:rsid w:val="005B2B20"/>
    <w:rsid w:val="005D2A90"/>
    <w:rsid w:val="00640DB7"/>
    <w:rsid w:val="006756C5"/>
    <w:rsid w:val="006A32E5"/>
    <w:rsid w:val="006B0E27"/>
    <w:rsid w:val="006C67FC"/>
    <w:rsid w:val="00706E4C"/>
    <w:rsid w:val="00715108"/>
    <w:rsid w:val="007569F4"/>
    <w:rsid w:val="007732AB"/>
    <w:rsid w:val="007C3501"/>
    <w:rsid w:val="007D060E"/>
    <w:rsid w:val="007D53F4"/>
    <w:rsid w:val="007D79E5"/>
    <w:rsid w:val="007F2FFA"/>
    <w:rsid w:val="00804D40"/>
    <w:rsid w:val="00823B7D"/>
    <w:rsid w:val="00897674"/>
    <w:rsid w:val="008B678B"/>
    <w:rsid w:val="008F4879"/>
    <w:rsid w:val="0090257C"/>
    <w:rsid w:val="0092789B"/>
    <w:rsid w:val="0094571F"/>
    <w:rsid w:val="0095571D"/>
    <w:rsid w:val="00971A77"/>
    <w:rsid w:val="00972D04"/>
    <w:rsid w:val="00992CC1"/>
    <w:rsid w:val="009C01F0"/>
    <w:rsid w:val="009D0B28"/>
    <w:rsid w:val="009E2B1A"/>
    <w:rsid w:val="009F5F06"/>
    <w:rsid w:val="00A15748"/>
    <w:rsid w:val="00A34853"/>
    <w:rsid w:val="00A52595"/>
    <w:rsid w:val="00A8779F"/>
    <w:rsid w:val="00AA2697"/>
    <w:rsid w:val="00AB46E8"/>
    <w:rsid w:val="00AC078C"/>
    <w:rsid w:val="00AE3CC5"/>
    <w:rsid w:val="00AE6A02"/>
    <w:rsid w:val="00B23E0F"/>
    <w:rsid w:val="00B6124C"/>
    <w:rsid w:val="00B72A08"/>
    <w:rsid w:val="00B90C0F"/>
    <w:rsid w:val="00BA39FE"/>
    <w:rsid w:val="00BA6CE9"/>
    <w:rsid w:val="00BE5B77"/>
    <w:rsid w:val="00BE65B8"/>
    <w:rsid w:val="00C00DC6"/>
    <w:rsid w:val="00C30550"/>
    <w:rsid w:val="00C434F8"/>
    <w:rsid w:val="00C824C1"/>
    <w:rsid w:val="00D162C7"/>
    <w:rsid w:val="00D164EE"/>
    <w:rsid w:val="00D17C29"/>
    <w:rsid w:val="00D56359"/>
    <w:rsid w:val="00D57B0F"/>
    <w:rsid w:val="00D91C7C"/>
    <w:rsid w:val="00D97168"/>
    <w:rsid w:val="00DC6106"/>
    <w:rsid w:val="00E06B11"/>
    <w:rsid w:val="00E317C7"/>
    <w:rsid w:val="00E83C66"/>
    <w:rsid w:val="00ED7ACD"/>
    <w:rsid w:val="00EE67DE"/>
    <w:rsid w:val="00EF54F7"/>
    <w:rsid w:val="00F56F22"/>
    <w:rsid w:val="00F6272A"/>
    <w:rsid w:val="00F91C56"/>
    <w:rsid w:val="00F95A79"/>
    <w:rsid w:val="00FE5147"/>
    <w:rsid w:val="00FE6DC2"/>
    <w:rsid w:val="00FF42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3A2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ACF"/>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7A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ACF"/>
    <w:rPr>
      <w:rFonts w:ascii="Calibri" w:eastAsia="PMingLiU" w:hAnsi="Calibri" w:cs="Times New Roman"/>
    </w:rPr>
  </w:style>
  <w:style w:type="character" w:styleId="Hyperlink">
    <w:name w:val="Hyperlink"/>
    <w:uiPriority w:val="99"/>
    <w:rsid w:val="008A7ACF"/>
    <w:rPr>
      <w:rFonts w:cs="Times New Roman"/>
      <w:color w:val="0000FF"/>
      <w:u w:val="single"/>
    </w:rPr>
  </w:style>
  <w:style w:type="table" w:styleId="TableGrid">
    <w:name w:val="Table Grid"/>
    <w:basedOn w:val="TableNormal"/>
    <w:uiPriority w:val="59"/>
    <w:rsid w:val="00AB787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5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577"/>
    <w:rPr>
      <w:rFonts w:ascii="Tahoma" w:eastAsia="PMingLiU" w:hAnsi="Tahoma" w:cs="Tahoma"/>
      <w:sz w:val="16"/>
      <w:szCs w:val="16"/>
    </w:rPr>
  </w:style>
  <w:style w:type="paragraph" w:styleId="Footer">
    <w:name w:val="footer"/>
    <w:basedOn w:val="Normal"/>
    <w:link w:val="FooterChar"/>
    <w:uiPriority w:val="99"/>
    <w:unhideWhenUsed/>
    <w:rsid w:val="0040304F"/>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40304F"/>
    <w:rPr>
      <w:rFonts w:ascii="Calibri" w:hAnsi="Calibri" w:cs="Times New Roman"/>
      <w:sz w:val="20"/>
      <w:szCs w:val="20"/>
    </w:rPr>
  </w:style>
  <w:style w:type="character" w:customStyle="1" w:styleId="EasyID">
    <w:name w:val="EasyID"/>
    <w:basedOn w:val="DefaultParagraphFont"/>
    <w:rsid w:val="007D060E"/>
    <w:rPr>
      <w:rFonts w:ascii="Arial" w:eastAsia="Times New Roman" w:hAnsi="Arial" w:cs="Arial"/>
      <w:b w:val="0"/>
      <w:sz w:val="14"/>
      <w:szCs w:val="20"/>
      <w:lang w:val="en-US" w:eastAsia="en-US" w:bidi="ar-SA"/>
    </w:rPr>
  </w:style>
  <w:style w:type="paragraph" w:styleId="ListParagraph">
    <w:name w:val="List Paragraph"/>
    <w:basedOn w:val="Normal"/>
    <w:uiPriority w:val="34"/>
    <w:qFormat/>
    <w:rsid w:val="007D79E5"/>
    <w:pPr>
      <w:ind w:left="720"/>
      <w:contextualSpacing/>
    </w:pPr>
  </w:style>
  <w:style w:type="paragraph" w:customStyle="1" w:styleId="Default">
    <w:name w:val="Default"/>
    <w:rsid w:val="00992CC1"/>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34C78"/>
    <w:rPr>
      <w:sz w:val="16"/>
      <w:szCs w:val="16"/>
    </w:rPr>
  </w:style>
  <w:style w:type="paragraph" w:styleId="CommentText">
    <w:name w:val="annotation text"/>
    <w:basedOn w:val="Normal"/>
    <w:link w:val="CommentTextChar"/>
    <w:uiPriority w:val="99"/>
    <w:semiHidden/>
    <w:unhideWhenUsed/>
    <w:rsid w:val="00334C78"/>
    <w:pPr>
      <w:spacing w:line="240" w:lineRule="auto"/>
    </w:pPr>
    <w:rPr>
      <w:sz w:val="20"/>
      <w:szCs w:val="20"/>
    </w:rPr>
  </w:style>
  <w:style w:type="character" w:customStyle="1" w:styleId="CommentTextChar">
    <w:name w:val="Comment Text Char"/>
    <w:basedOn w:val="DefaultParagraphFont"/>
    <w:link w:val="CommentText"/>
    <w:uiPriority w:val="99"/>
    <w:semiHidden/>
    <w:rsid w:val="00334C78"/>
    <w:rPr>
      <w:rFonts w:ascii="Calibri" w:hAnsi="Calibri" w:cs="Times New Roman"/>
      <w:sz w:val="20"/>
      <w:szCs w:val="20"/>
    </w:rPr>
  </w:style>
  <w:style w:type="character" w:customStyle="1" w:styleId="DocID">
    <w:name w:val="DocID"/>
    <w:basedOn w:val="DefaultParagraphFont"/>
    <w:rsid w:val="001E1948"/>
    <w:rPr>
      <w:rFonts w:ascii="Verdana" w:hAnsi="Verdana" w:cs="Calibri"/>
      <w:b w:val="0"/>
      <w:i w:val="0"/>
      <w:caps w:val="0"/>
      <w:vanish w:val="0"/>
      <w:color w:val="000000"/>
      <w:sz w:val="1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lie@newwavecorp.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FE084-AAFC-45C9-B94B-2790966D6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2021-12-15T17:36:00Z</dcterms:created>
  <dcterms:modified xsi:type="dcterms:W3CDTF">2021-12-15T17:37:00Z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LEGAL_37426249.1</vt:lpwstr>
  </property>
</Properties>
</file>