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A77B3E"/>
    <w:p w:rsidR="00A77B3E" w:rsidRDefault="00A77B3E">
      <w:pPr>
        <w:spacing w:after="200"/>
      </w:pPr>
      <w:bookmarkStart w:id="0" w:name="_GoBack"/>
      <w:bookmarkEnd w:id="0"/>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6"/>
        <w:gridCol w:w="74"/>
        <w:gridCol w:w="100"/>
        <w:gridCol w:w="1635"/>
        <w:gridCol w:w="75"/>
        <w:gridCol w:w="100"/>
        <w:gridCol w:w="1560"/>
      </w:tblGrid>
      <w:tr w:rsidR="0055425F" w:rsidTr="00AE072F">
        <w:trPr>
          <w:trHeight w:hRule="exact" w:val="285"/>
          <w:jc w:val="center"/>
        </w:trPr>
        <w:tc>
          <w:tcPr>
            <w:tcW w:w="5776"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sz w:val="20"/>
              </w:rPr>
              <w:t>Piedmont Office Realty Trust, Inc.</w:t>
            </w:r>
          </w:p>
        </w:tc>
        <w:tc>
          <w:tcPr>
            <w:tcW w:w="74"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rsidTr="00AE072F">
        <w:trPr>
          <w:trHeight w:hRule="exact" w:val="255"/>
          <w:jc w:val="center"/>
        </w:trPr>
        <w:tc>
          <w:tcPr>
            <w:tcW w:w="5776"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sz w:val="20"/>
              </w:rPr>
              <w:t>Consolidated Balance Sheets</w:t>
            </w:r>
          </w:p>
        </w:tc>
        <w:tc>
          <w:tcPr>
            <w:tcW w:w="74"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rsidTr="00AE072F">
        <w:trPr>
          <w:trHeight w:hRule="exact" w:val="255"/>
          <w:jc w:val="center"/>
        </w:trPr>
        <w:tc>
          <w:tcPr>
            <w:tcW w:w="5776"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i/>
                <w:sz w:val="20"/>
              </w:rPr>
              <w:t xml:space="preserve"> (in thousands)</w:t>
            </w:r>
          </w:p>
        </w:tc>
        <w:tc>
          <w:tcPr>
            <w:tcW w:w="74"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rsidTr="00AE072F">
        <w:trPr>
          <w:trHeight w:hRule="exact" w:val="135"/>
          <w:jc w:val="center"/>
        </w:trPr>
        <w:tc>
          <w:tcPr>
            <w:tcW w:w="5776"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4"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73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66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r>
      <w:tr w:rsidR="0055425F" w:rsidTr="00AE072F">
        <w:trPr>
          <w:trHeight w:hRule="exact" w:val="552"/>
          <w:jc w:val="center"/>
        </w:trPr>
        <w:tc>
          <w:tcPr>
            <w:tcW w:w="5776"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4"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jc w:val="center"/>
            </w:pPr>
            <w:r>
              <w:rPr>
                <w:b/>
                <w:sz w:val="18"/>
              </w:rPr>
              <w:t>June 30, 2019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jc w:val="center"/>
            </w:pPr>
            <w:r>
              <w:rPr>
                <w:b/>
                <w:sz w:val="18"/>
              </w:rPr>
              <w:t>December 31, 2018</w:t>
            </w:r>
          </w:p>
        </w:tc>
      </w:tr>
      <w:tr w:rsidR="0055425F" w:rsidTr="00AE072F">
        <w:trPr>
          <w:trHeight w:hRule="exact" w:val="420"/>
          <w:jc w:val="center"/>
        </w:trPr>
        <w:tc>
          <w:tcPr>
            <w:tcW w:w="5776"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4"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73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i/>
                <w:sz w:val="18"/>
              </w:rPr>
              <w:t>(unaudited)</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66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r>
      <w:tr w:rsidR="0055425F" w:rsidTr="00AE072F">
        <w:trPr>
          <w:trHeight w:hRule="exact" w:val="240"/>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sz w:val="18"/>
              </w:rPr>
              <w:t>Assets:</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r>
      <w:tr w:rsidR="0055425F" w:rsidTr="00AE072F">
        <w:trPr>
          <w:trHeight w:hRule="exact" w:val="240"/>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firstLine="360"/>
              <w:outlineLvl w:val="0"/>
            </w:pPr>
            <w:r>
              <w:rPr>
                <w:color w:val="000000"/>
                <w:sz w:val="18"/>
              </w:rPr>
              <w:t>Real estate assets, at cost:</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r>
      <w:tr w:rsidR="0055425F" w:rsidTr="00AE072F">
        <w:trPr>
          <w:trHeight w:hRule="exact" w:val="240"/>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firstLine="720"/>
            </w:pPr>
            <w:r>
              <w:rPr>
                <w:color w:val="000000"/>
                <w:sz w:val="18"/>
              </w:rPr>
              <w:t>Land</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pPr>
            <w:r>
              <w:rPr>
                <w:sz w:val="18"/>
              </w:rPr>
              <w:t>$</w:t>
            </w:r>
          </w:p>
        </w:tc>
        <w:tc>
          <w:tcPr>
            <w:tcW w:w="1635"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517,479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pPr>
            <w:r>
              <w:rPr>
                <w:sz w:val="18"/>
              </w:rPr>
              <w:t>$</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507,422</w:t>
            </w:r>
          </w:p>
        </w:tc>
      </w:tr>
      <w:tr w:rsidR="0055425F" w:rsidTr="00AE072F">
        <w:trPr>
          <w:trHeight w:hRule="exact" w:val="25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firstLine="720"/>
            </w:pPr>
            <w:r>
              <w:rPr>
                <w:color w:val="000000"/>
                <w:sz w:val="18"/>
              </w:rPr>
              <w:t>Buildings and improvements</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3,154,692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3,077,189</w:t>
            </w:r>
          </w:p>
        </w:tc>
      </w:tr>
      <w:tr w:rsidR="0055425F" w:rsidTr="00AE072F">
        <w:trPr>
          <w:trHeight w:hRule="exact" w:val="25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firstLine="720"/>
            </w:pPr>
            <w:r>
              <w:rPr>
                <w:color w:val="000000"/>
                <w:sz w:val="18"/>
              </w:rPr>
              <w:t>Buildings and improvements, accumulated depreciation</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(812,664)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(772,093)</w:t>
            </w:r>
          </w:p>
        </w:tc>
      </w:tr>
      <w:tr w:rsidR="0055425F" w:rsidTr="00AE072F">
        <w:trPr>
          <w:trHeight w:hRule="exact" w:val="25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firstLine="720"/>
            </w:pPr>
            <w:r>
              <w:rPr>
                <w:color w:val="000000"/>
                <w:sz w:val="18"/>
              </w:rPr>
              <w:t>Intangible lease assets</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172,212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165,067</w:t>
            </w:r>
          </w:p>
        </w:tc>
      </w:tr>
      <w:tr w:rsidR="0055425F" w:rsidTr="00AE072F">
        <w:trPr>
          <w:trHeight w:hRule="exact" w:val="25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firstLine="720"/>
            </w:pPr>
            <w:r>
              <w:rPr>
                <w:color w:val="000000"/>
                <w:sz w:val="18"/>
              </w:rPr>
              <w:t>Intangible lease assets, accumulated amortization</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(92,881)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(87,391)</w:t>
            </w:r>
          </w:p>
        </w:tc>
      </w:tr>
      <w:tr w:rsidR="0055425F" w:rsidTr="00AE072F">
        <w:trPr>
          <w:trHeight w:hRule="exact" w:val="25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firstLine="720"/>
            </w:pPr>
            <w:r>
              <w:rPr>
                <w:color w:val="000000"/>
                <w:sz w:val="18"/>
              </w:rPr>
              <w:t>Construction in progress</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13,252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15,848</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773" w:type="dxa"/>
              <w:bottom w:w="30" w:type="dxa"/>
              <w:right w:w="53" w:type="dxa"/>
            </w:tcMar>
            <w:vAlign w:val="bottom"/>
          </w:tcPr>
          <w:p w:rsidR="0055425F" w:rsidRDefault="00F02B34">
            <w:pPr>
              <w:spacing w:line="200" w:lineRule="auto"/>
            </w:pPr>
            <w:r>
              <w:rPr>
                <w:sz w:val="18"/>
              </w:rPr>
              <w:t>Real estate assets held for sale, gross</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159,005</w:t>
            </w:r>
          </w:p>
        </w:tc>
      </w:tr>
      <w:tr w:rsidR="0055425F" w:rsidTr="00AE072F">
        <w:trPr>
          <w:trHeight w:hRule="exact" w:val="46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810" w:hanging="90"/>
            </w:pPr>
            <w:r>
              <w:rPr>
                <w:color w:val="000000"/>
                <w:sz w:val="18"/>
              </w:rPr>
              <w:t>Real estate assets held for sale, accumulated depreciation and amortization</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(48,453)</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firstLine="900"/>
            </w:pPr>
            <w:r>
              <w:rPr>
                <w:color w:val="000000"/>
                <w:sz w:val="18"/>
              </w:rPr>
              <w:t>Total real estate assets</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18"/>
              </w:rPr>
              <w:t>2,952,090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18"/>
              </w:rPr>
              <w:t>3,016,594</w:t>
            </w:r>
          </w:p>
        </w:tc>
      </w:tr>
      <w:tr w:rsidR="0055425F" w:rsidTr="00AE072F">
        <w:trPr>
          <w:trHeight w:hRule="exact" w:val="28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firstLine="360"/>
            </w:pPr>
            <w:r>
              <w:rPr>
                <w:color w:val="000000"/>
                <w:sz w:val="18"/>
              </w:rPr>
              <w:t>Cash and cash equivalents</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7,748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4,571</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firstLine="360"/>
            </w:pPr>
            <w:r>
              <w:rPr>
                <w:color w:val="000000"/>
                <w:sz w:val="18"/>
              </w:rPr>
              <w:t>Tenant receivables</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10,494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10,800</w:t>
            </w:r>
          </w:p>
        </w:tc>
      </w:tr>
      <w:tr w:rsidR="0055425F" w:rsidTr="00AE072F">
        <w:trPr>
          <w:trHeight w:hRule="exact" w:val="28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Straight line rent receivables</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171,422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162,589</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firstLine="360"/>
            </w:pPr>
            <w:r>
              <w:rPr>
                <w:color w:val="000000"/>
                <w:sz w:val="18"/>
              </w:rPr>
              <w:t>Restricted cash and escrows</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1,480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1,463</w:t>
            </w:r>
          </w:p>
        </w:tc>
      </w:tr>
      <w:tr w:rsidR="0055425F" w:rsidTr="00AE072F">
        <w:trPr>
          <w:trHeight w:hRule="exact" w:val="28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firstLine="360"/>
            </w:pPr>
            <w:r>
              <w:rPr>
                <w:color w:val="000000"/>
                <w:sz w:val="18"/>
              </w:rPr>
              <w:t>Prepaid expenses and other assets</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33,086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25,356</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 xml:space="preserve">Goodwill </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98,918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98,918</w:t>
            </w:r>
          </w:p>
        </w:tc>
      </w:tr>
      <w:tr w:rsidR="0055425F" w:rsidTr="00AE072F">
        <w:trPr>
          <w:trHeight w:hRule="exact" w:val="28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Interest rate swaps</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1,199</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Deferred lease costs, gross</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446,458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433,759</w:t>
            </w:r>
          </w:p>
        </w:tc>
      </w:tr>
      <w:tr w:rsidR="0055425F" w:rsidTr="00AE072F">
        <w:trPr>
          <w:trHeight w:hRule="exact" w:val="28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Deferred lease costs, accumulated depreciation</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(196,339)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(183,611)</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Other assets held for sale, gross</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23,237</w:t>
            </w:r>
          </w:p>
        </w:tc>
      </w:tr>
      <w:tr w:rsidR="0055425F" w:rsidTr="00AE072F">
        <w:trPr>
          <w:trHeight w:hRule="exact" w:val="28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Other assets held for sale, accumulated depreciation</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(2,446)</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18"/>
              </w:rPr>
              <w:t>Total assets</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pPr>
            <w:r>
              <w:rPr>
                <w:b/>
                <w:sz w:val="18"/>
              </w:rPr>
              <w:t>$</w:t>
            </w:r>
          </w:p>
        </w:tc>
        <w:tc>
          <w:tcPr>
            <w:tcW w:w="163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18"/>
              </w:rPr>
              <w:t>3,525,367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pPr>
            <w:r>
              <w:rPr>
                <w:b/>
                <w:sz w:val="18"/>
              </w:rPr>
              <w:t>$</w:t>
            </w:r>
          </w:p>
        </w:tc>
        <w:tc>
          <w:tcPr>
            <w:tcW w:w="15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18"/>
              </w:rPr>
              <w:t>3,592,429</w:t>
            </w:r>
          </w:p>
        </w:tc>
      </w:tr>
      <w:tr w:rsidR="0055425F" w:rsidTr="00AE072F">
        <w:trPr>
          <w:trHeight w:hRule="exact" w:val="240"/>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sz w:val="18"/>
              </w:rPr>
              <w:t>Liabilities:</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55425F" w:rsidRDefault="0055425F"/>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Unsecured debt, net of discount and unamortized debt issuance costs</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pPr>
            <w:r>
              <w:rPr>
                <w:sz w:val="18"/>
              </w:rPr>
              <w:t>$</w:t>
            </w:r>
          </w:p>
        </w:tc>
        <w:tc>
          <w:tcPr>
            <w:tcW w:w="1635"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1,472,194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pPr>
            <w:r>
              <w:rPr>
                <w:sz w:val="18"/>
              </w:rPr>
              <w:t>$</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1,495,121</w:t>
            </w:r>
          </w:p>
        </w:tc>
      </w:tr>
      <w:tr w:rsidR="0055425F" w:rsidTr="00AE072F">
        <w:trPr>
          <w:trHeight w:hRule="exact" w:val="28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Secured debt, net of premiums and unamortized debt issuance costs</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189,782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190,351</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540" w:hanging="180"/>
            </w:pPr>
            <w:r>
              <w:rPr>
                <w:color w:val="000000"/>
                <w:sz w:val="18"/>
              </w:rPr>
              <w:t>Accounts payable, accrued expenses, and accrued capital expenditures</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97,502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102,519</w:t>
            </w:r>
          </w:p>
        </w:tc>
      </w:tr>
      <w:tr w:rsidR="0055425F" w:rsidTr="00AE072F">
        <w:trPr>
          <w:trHeight w:hRule="exact" w:val="28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Dividends payable</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26,972</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Deferred income</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24,641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28,779</w:t>
            </w:r>
          </w:p>
        </w:tc>
      </w:tr>
      <w:tr w:rsidR="0055425F" w:rsidTr="00AE072F">
        <w:trPr>
          <w:trHeight w:hRule="exact" w:val="28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Intangible lease liabilities, less accumulated amortization</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32,724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35,708</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Interest rate swaps</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5,549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839</w:t>
            </w:r>
          </w:p>
        </w:tc>
      </w:tr>
      <w:tr w:rsidR="0055425F" w:rsidTr="00AE072F">
        <w:trPr>
          <w:trHeight w:hRule="exact" w:val="300"/>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18"/>
              </w:rPr>
              <w:t>Total liabilities</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18"/>
              </w:rPr>
              <w:t>1,822,392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18"/>
              </w:rPr>
              <w:t>1,880,289</w:t>
            </w:r>
          </w:p>
        </w:tc>
      </w:tr>
      <w:tr w:rsidR="0055425F" w:rsidTr="00AE072F">
        <w:trPr>
          <w:trHeight w:hRule="exact" w:val="25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18"/>
              </w:rPr>
              <w:t>Stockholders' equity :</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r>
      <w:tr w:rsidR="0055425F" w:rsidTr="00AE072F">
        <w:trPr>
          <w:trHeight w:hRule="exact" w:val="300"/>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Common stock</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1,258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1,262</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Additional paid in capital</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3,687,881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3,683,186</w:t>
            </w:r>
          </w:p>
        </w:tc>
      </w:tr>
      <w:tr w:rsidR="0055425F" w:rsidTr="00AE072F">
        <w:trPr>
          <w:trHeight w:hRule="exact" w:val="285"/>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 xml:space="preserve">Cumulative distributions in excess of earnings </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(1,989,446)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18"/>
              </w:rPr>
              <w:t>(1,982,542)</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lastRenderedPageBreak/>
              <w:t>Other comprehensive income</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1,530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8,462</w:t>
            </w:r>
          </w:p>
        </w:tc>
      </w:tr>
      <w:tr w:rsidR="0055425F" w:rsidTr="00AE072F">
        <w:trPr>
          <w:trHeight w:hRule="exact" w:val="300"/>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18"/>
              </w:rPr>
              <w:t>Piedmont stockholders' equity</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18"/>
              </w:rPr>
              <w:t>1,701,223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18"/>
              </w:rPr>
              <w:t>1,710,368</w:t>
            </w:r>
          </w:p>
        </w:tc>
      </w:tr>
      <w:tr w:rsidR="0055425F" w:rsidTr="00AE072F">
        <w:trPr>
          <w:trHeight w:hRule="exact" w:val="285"/>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18"/>
              </w:rPr>
              <w:t>Non-controlling interest</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1,752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18"/>
              </w:rPr>
              <w:t>1,772</w:t>
            </w:r>
          </w:p>
        </w:tc>
      </w:tr>
      <w:tr w:rsidR="0055425F" w:rsidTr="00AE072F">
        <w:trPr>
          <w:trHeight w:hRule="exact" w:val="300"/>
          <w:jc w:val="center"/>
        </w:trPr>
        <w:tc>
          <w:tcPr>
            <w:tcW w:w="5776"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18"/>
              </w:rPr>
              <w:t>Total stockholders' equity</w:t>
            </w:r>
          </w:p>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18"/>
              </w:rPr>
              <w:t>1,702,975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18"/>
              </w:rPr>
              <w:t>1,712,140</w:t>
            </w:r>
          </w:p>
        </w:tc>
      </w:tr>
      <w:tr w:rsidR="0055425F" w:rsidTr="00AE072F">
        <w:trPr>
          <w:trHeight w:hRule="exact" w:val="300"/>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18"/>
              </w:rPr>
              <w:t>Total liabilities and stockholders' equity</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pPr>
            <w:r>
              <w:rPr>
                <w:b/>
                <w:sz w:val="18"/>
              </w:rPr>
              <w:t>$</w:t>
            </w:r>
          </w:p>
        </w:tc>
        <w:tc>
          <w:tcPr>
            <w:tcW w:w="163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18"/>
              </w:rPr>
              <w:t>3,525,367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pPr>
            <w:r>
              <w:rPr>
                <w:b/>
                <w:sz w:val="18"/>
              </w:rPr>
              <w:t>$</w:t>
            </w:r>
          </w:p>
        </w:tc>
        <w:tc>
          <w:tcPr>
            <w:tcW w:w="15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18"/>
              </w:rPr>
              <w:t>3,592,429</w:t>
            </w:r>
          </w:p>
        </w:tc>
      </w:tr>
      <w:tr w:rsidR="0055425F" w:rsidTr="00AE072F">
        <w:trPr>
          <w:trHeight w:hRule="exact" w:val="180"/>
          <w:jc w:val="center"/>
        </w:trPr>
        <w:tc>
          <w:tcPr>
            <w:tcW w:w="5776"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74"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73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66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55425F" w:rsidRDefault="0055425F"/>
        </w:tc>
      </w:tr>
      <w:tr w:rsidR="0055425F" w:rsidTr="00AE072F">
        <w:trPr>
          <w:trHeight w:hRule="exact" w:val="300"/>
          <w:jc w:val="center"/>
        </w:trPr>
        <w:tc>
          <w:tcPr>
            <w:tcW w:w="5776"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i/>
                <w:sz w:val="18"/>
              </w:rPr>
              <w:t>Number of shares of common stock outstanding as of end of period</w:t>
            </w:r>
          </w:p>
        </w:tc>
        <w:tc>
          <w:tcPr>
            <w:tcW w:w="74"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73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i/>
                <w:sz w:val="18"/>
              </w:rPr>
              <w:t>125,783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6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i/>
                <w:sz w:val="20"/>
              </w:rPr>
              <w:t>126,219</w:t>
            </w:r>
          </w:p>
        </w:tc>
      </w:tr>
    </w:tbl>
    <w:p w:rsidR="0055425F" w:rsidRDefault="0055425F">
      <w:pPr>
        <w:spacing w:before="120" w:after="120"/>
        <w:jc w:val="center"/>
      </w:pPr>
      <w:bookmarkStart w:id="1" w:name="Section2"/>
      <w:bookmarkEnd w:id="1"/>
    </w:p>
    <w:p w:rsidR="0055425F" w:rsidRDefault="0055425F">
      <w:pPr>
        <w:spacing w:before="120" w:after="120"/>
        <w:jc w:val="center"/>
        <w:sectPr w:rsidR="0055425F">
          <w:headerReference w:type="default" r:id="rId7"/>
          <w:footerReference w:type="default" r:id="rId8"/>
          <w:pgSz w:w="12240" w:h="15840"/>
          <w:pgMar w:top="855" w:right="990" w:bottom="855" w:left="1890" w:header="270" w:footer="270" w:gutter="0"/>
          <w:cols w:space="720"/>
        </w:sectPr>
      </w:pPr>
    </w:p>
    <w:p w:rsidR="0055425F" w:rsidRDefault="0055425F">
      <w:bookmarkStart w:id="2" w:name="Section3"/>
      <w:bookmarkEnd w:id="2"/>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gridCol w:w="206"/>
        <w:gridCol w:w="1162"/>
        <w:gridCol w:w="102"/>
        <w:gridCol w:w="100"/>
        <w:gridCol w:w="1144"/>
        <w:gridCol w:w="102"/>
        <w:gridCol w:w="100"/>
        <w:gridCol w:w="955"/>
        <w:gridCol w:w="73"/>
        <w:gridCol w:w="100"/>
        <w:gridCol w:w="970"/>
      </w:tblGrid>
      <w:tr w:rsidR="0055425F">
        <w:trPr>
          <w:trHeight w:hRule="exact" w:val="300"/>
          <w:jc w:val="center"/>
        </w:trPr>
        <w:tc>
          <w:tcPr>
            <w:tcW w:w="529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sz w:val="20"/>
              </w:rPr>
              <w:t>Piedmont Office Realty Trust, Inc.</w:t>
            </w:r>
          </w:p>
        </w:tc>
        <w:tc>
          <w:tcPr>
            <w:tcW w:w="127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300"/>
          <w:jc w:val="center"/>
        </w:trPr>
        <w:tc>
          <w:tcPr>
            <w:tcW w:w="529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sz w:val="20"/>
              </w:rPr>
              <w:t>Consolidated Statements of Income</w:t>
            </w:r>
          </w:p>
        </w:tc>
        <w:tc>
          <w:tcPr>
            <w:tcW w:w="127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300"/>
          <w:jc w:val="center"/>
        </w:trPr>
        <w:tc>
          <w:tcPr>
            <w:tcW w:w="529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i/>
                <w:sz w:val="20"/>
              </w:rPr>
              <w:t>Unaudited (in thousands, except for per share data)</w:t>
            </w:r>
          </w:p>
        </w:tc>
        <w:tc>
          <w:tcPr>
            <w:tcW w:w="127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75"/>
          <w:jc w:val="center"/>
        </w:trPr>
        <w:tc>
          <w:tcPr>
            <w:tcW w:w="529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27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26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08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495"/>
          <w:jc w:val="center"/>
        </w:trPr>
        <w:tc>
          <w:tcPr>
            <w:tcW w:w="529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2640" w:type="dxa"/>
            <w:gridSpan w:val="5"/>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jc w:val="center"/>
            </w:pPr>
            <w:r>
              <w:rPr>
                <w:b/>
                <w:sz w:val="20"/>
              </w:rPr>
              <w:t>Three Months Ended</w:t>
            </w:r>
          </w:p>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2220" w:type="dxa"/>
            <w:gridSpan w:val="5"/>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jc w:val="center"/>
            </w:pPr>
            <w:r>
              <w:rPr>
                <w:b/>
                <w:sz w:val="20"/>
              </w:rPr>
              <w:t>Six Months Ended</w:t>
            </w:r>
          </w:p>
        </w:tc>
      </w:tr>
      <w:tr w:rsidR="0055425F">
        <w:trPr>
          <w:trHeight w:hRule="exact" w:val="495"/>
          <w:jc w:val="center"/>
        </w:trPr>
        <w:tc>
          <w:tcPr>
            <w:tcW w:w="529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27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6/30/19</w:t>
            </w:r>
          </w:p>
        </w:tc>
        <w:tc>
          <w:tcPr>
            <w:tcW w:w="10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260"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6/30/18</w:t>
            </w:r>
          </w:p>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080"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6/30/18</w:t>
            </w:r>
          </w:p>
        </w:tc>
      </w:tr>
      <w:tr w:rsidR="0055425F">
        <w:trPr>
          <w:trHeight w:hRule="exact" w:val="300"/>
          <w:jc w:val="center"/>
        </w:trPr>
        <w:tc>
          <w:tcPr>
            <w:tcW w:w="529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sz w:val="20"/>
              </w:rPr>
              <w:t>Revenues:</w:t>
            </w:r>
          </w:p>
        </w:tc>
        <w:tc>
          <w:tcPr>
            <w:tcW w:w="127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26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8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300"/>
          <w:jc w:val="center"/>
        </w:trPr>
        <w:tc>
          <w:tcPr>
            <w:tcW w:w="529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sz w:val="20"/>
              </w:rPr>
              <w:t>Rental and tenant reimbursement revenue</w:t>
            </w:r>
          </w:p>
        </w:tc>
        <w:tc>
          <w:tcPr>
            <w:tcW w:w="100"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sz w:val="20"/>
              </w:rPr>
              <w:t>$</w:t>
            </w:r>
          </w:p>
        </w:tc>
        <w:tc>
          <w:tcPr>
            <w:tcW w:w="11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125,468</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sz w:val="20"/>
              </w:rPr>
              <w:t>$</w:t>
            </w:r>
          </w:p>
        </w:tc>
        <w:tc>
          <w:tcPr>
            <w:tcW w:w="116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123,525</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sz w:val="20"/>
              </w:rPr>
              <w:t>$</w:t>
            </w:r>
          </w:p>
        </w:tc>
        <w:tc>
          <w:tcPr>
            <w:tcW w:w="965"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251,634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sz w:val="20"/>
              </w:rPr>
              <w:t>$</w:t>
            </w:r>
          </w:p>
        </w:tc>
        <w:tc>
          <w:tcPr>
            <w:tcW w:w="98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247,973</w:t>
            </w:r>
          </w:p>
        </w:tc>
      </w:tr>
      <w:tr w:rsidR="0055425F">
        <w:trPr>
          <w:trHeight w:hRule="exact" w:val="300"/>
          <w:jc w:val="center"/>
        </w:trPr>
        <w:tc>
          <w:tcPr>
            <w:tcW w:w="529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sz w:val="20"/>
              </w:rPr>
              <w:t>Property management fee revenue</w:t>
            </w:r>
          </w:p>
        </w:tc>
        <w:tc>
          <w:tcPr>
            <w:tcW w:w="127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422</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382</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2,414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691</w:t>
            </w:r>
          </w:p>
        </w:tc>
      </w:tr>
      <w:tr w:rsidR="0055425F">
        <w:trPr>
          <w:trHeight w:hRule="exact" w:val="300"/>
          <w:jc w:val="center"/>
        </w:trPr>
        <w:tc>
          <w:tcPr>
            <w:tcW w:w="529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sz w:val="20"/>
              </w:rPr>
              <w:t>Other property related income</w:t>
            </w:r>
          </w:p>
        </w:tc>
        <w:tc>
          <w:tcPr>
            <w:tcW w:w="127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4,778</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5,267</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9,556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10,410</w:t>
            </w:r>
          </w:p>
        </w:tc>
      </w:tr>
      <w:tr w:rsidR="0055425F">
        <w:trPr>
          <w:trHeight w:hRule="exact" w:val="300"/>
          <w:jc w:val="center"/>
        </w:trPr>
        <w:tc>
          <w:tcPr>
            <w:tcW w:w="529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firstLine="360"/>
              <w:outlineLvl w:val="0"/>
            </w:pPr>
            <w:r>
              <w:rPr>
                <w:color w:val="000000"/>
                <w:sz w:val="20"/>
              </w:rPr>
              <w:t>Total revenues</w:t>
            </w:r>
          </w:p>
        </w:tc>
        <w:tc>
          <w:tcPr>
            <w:tcW w:w="1275" w:type="dxa"/>
            <w:gridSpan w:val="2"/>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130,668</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26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129,174</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263,604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8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259,074</w:t>
            </w:r>
          </w:p>
        </w:tc>
      </w:tr>
      <w:tr w:rsidR="0055425F">
        <w:trPr>
          <w:trHeight w:hRule="exact" w:val="300"/>
          <w:jc w:val="center"/>
        </w:trPr>
        <w:tc>
          <w:tcPr>
            <w:tcW w:w="529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Expenses:</w:t>
            </w:r>
          </w:p>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r>
      <w:tr w:rsidR="0055425F">
        <w:trPr>
          <w:trHeight w:hRule="exact" w:val="300"/>
          <w:jc w:val="center"/>
        </w:trPr>
        <w:tc>
          <w:tcPr>
            <w:tcW w:w="529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sz w:val="20"/>
              </w:rPr>
              <w:t>Property operating costs</w:t>
            </w:r>
          </w:p>
        </w:tc>
        <w:tc>
          <w:tcPr>
            <w:tcW w:w="127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52,380</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52,637</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104,185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104,496</w:t>
            </w:r>
          </w:p>
        </w:tc>
      </w:tr>
      <w:tr w:rsidR="0055425F">
        <w:trPr>
          <w:trHeight w:hRule="exact" w:val="300"/>
          <w:jc w:val="center"/>
        </w:trPr>
        <w:tc>
          <w:tcPr>
            <w:tcW w:w="529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sz w:val="20"/>
              </w:rPr>
              <w:t>Depreciation</w:t>
            </w:r>
          </w:p>
        </w:tc>
        <w:tc>
          <w:tcPr>
            <w:tcW w:w="127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26,348</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27,115</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52,873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54,260</w:t>
            </w:r>
          </w:p>
        </w:tc>
      </w:tr>
      <w:tr w:rsidR="0055425F">
        <w:trPr>
          <w:trHeight w:hRule="exact" w:val="300"/>
          <w:jc w:val="center"/>
        </w:trPr>
        <w:tc>
          <w:tcPr>
            <w:tcW w:w="529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sz w:val="20"/>
              </w:rPr>
              <w:t>Amortization</w:t>
            </w:r>
          </w:p>
        </w:tc>
        <w:tc>
          <w:tcPr>
            <w:tcW w:w="127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18,461</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15,245</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36,161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31,978</w:t>
            </w:r>
          </w:p>
        </w:tc>
      </w:tr>
      <w:tr w:rsidR="0055425F">
        <w:trPr>
          <w:trHeight w:hRule="exact" w:val="300"/>
          <w:jc w:val="center"/>
        </w:trPr>
        <w:tc>
          <w:tcPr>
            <w:tcW w:w="529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sz w:val="20"/>
              </w:rPr>
              <w:t>General and administrative</w:t>
            </w:r>
          </w:p>
        </w:tc>
        <w:tc>
          <w:tcPr>
            <w:tcW w:w="127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12,418</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8,258</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21,786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14,810</w:t>
            </w:r>
          </w:p>
        </w:tc>
      </w:tr>
      <w:tr w:rsidR="0055425F">
        <w:trPr>
          <w:trHeight w:hRule="exact" w:val="300"/>
          <w:jc w:val="center"/>
        </w:trPr>
        <w:tc>
          <w:tcPr>
            <w:tcW w:w="529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Total operating expenses</w:t>
            </w:r>
          </w:p>
        </w:tc>
        <w:tc>
          <w:tcPr>
            <w:tcW w:w="1275" w:type="dxa"/>
            <w:gridSpan w:val="2"/>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109,607</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26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103,255</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215,005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8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205,544</w:t>
            </w:r>
          </w:p>
        </w:tc>
      </w:tr>
      <w:tr w:rsidR="0055425F">
        <w:trPr>
          <w:trHeight w:hRule="exact" w:val="300"/>
          <w:jc w:val="center"/>
        </w:trPr>
        <w:tc>
          <w:tcPr>
            <w:tcW w:w="529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Other income (expense):</w:t>
            </w:r>
          </w:p>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r>
      <w:tr w:rsidR="0055425F">
        <w:trPr>
          <w:trHeight w:hRule="exact" w:val="300"/>
          <w:jc w:val="center"/>
        </w:trPr>
        <w:tc>
          <w:tcPr>
            <w:tcW w:w="529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sz w:val="20"/>
              </w:rPr>
              <w:t>Interest expense</w:t>
            </w:r>
          </w:p>
        </w:tc>
        <w:tc>
          <w:tcPr>
            <w:tcW w:w="127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(15,112)</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(15,687)</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(30,605)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(29,445)</w:t>
            </w:r>
          </w:p>
        </w:tc>
      </w:tr>
      <w:tr w:rsidR="0055425F">
        <w:trPr>
          <w:trHeight w:hRule="exact" w:val="300"/>
          <w:jc w:val="center"/>
        </w:trPr>
        <w:tc>
          <w:tcPr>
            <w:tcW w:w="529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sz w:val="20"/>
              </w:rPr>
              <w:t>Other income</w:t>
            </w:r>
          </w:p>
        </w:tc>
        <w:tc>
          <w:tcPr>
            <w:tcW w:w="127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752</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731</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1,029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1,177</w:t>
            </w:r>
          </w:p>
        </w:tc>
      </w:tr>
      <w:tr w:rsidR="0055425F">
        <w:trPr>
          <w:trHeight w:hRule="exact" w:val="300"/>
          <w:jc w:val="center"/>
        </w:trPr>
        <w:tc>
          <w:tcPr>
            <w:tcW w:w="529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sz w:val="20"/>
              </w:rPr>
              <w:t>Loss on extinguishment of debt</w:t>
            </w:r>
          </w:p>
        </w:tc>
        <w:tc>
          <w:tcPr>
            <w:tcW w:w="127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(1,680)</w:t>
            </w:r>
          </w:p>
        </w:tc>
      </w:tr>
      <w:tr w:rsidR="0055425F">
        <w:trPr>
          <w:trHeight w:hRule="exact" w:val="300"/>
          <w:jc w:val="center"/>
        </w:trPr>
        <w:tc>
          <w:tcPr>
            <w:tcW w:w="529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sz w:val="20"/>
              </w:rPr>
              <w:t>Gain on sale of real estate assets</w:t>
            </w:r>
          </w:p>
        </w:tc>
        <w:tc>
          <w:tcPr>
            <w:tcW w:w="127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1,451</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(23)</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39,338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45,186</w:t>
            </w:r>
          </w:p>
        </w:tc>
      </w:tr>
      <w:tr w:rsidR="0055425F">
        <w:trPr>
          <w:trHeight w:hRule="exact" w:val="300"/>
          <w:jc w:val="center"/>
        </w:trPr>
        <w:tc>
          <w:tcPr>
            <w:tcW w:w="529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sz w:val="20"/>
              </w:rPr>
              <w:t>Total other income/(expense)</w:t>
            </w:r>
          </w:p>
        </w:tc>
        <w:tc>
          <w:tcPr>
            <w:tcW w:w="1275" w:type="dxa"/>
            <w:gridSpan w:val="2"/>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(12,909)</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26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(14,979)</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9,762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8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15,238</w:t>
            </w:r>
          </w:p>
        </w:tc>
      </w:tr>
      <w:tr w:rsidR="0055425F">
        <w:trPr>
          <w:trHeight w:hRule="exact" w:val="300"/>
          <w:jc w:val="center"/>
        </w:trPr>
        <w:tc>
          <w:tcPr>
            <w:tcW w:w="529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Net income</w:t>
            </w:r>
          </w:p>
        </w:tc>
        <w:tc>
          <w:tcPr>
            <w:tcW w:w="1275" w:type="dxa"/>
            <w:gridSpan w:val="2"/>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8,152</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26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10,940</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58,361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8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68,768</w:t>
            </w:r>
          </w:p>
        </w:tc>
      </w:tr>
      <w:tr w:rsidR="0055425F">
        <w:trPr>
          <w:trHeight w:hRule="exact" w:val="300"/>
          <w:jc w:val="center"/>
        </w:trPr>
        <w:tc>
          <w:tcPr>
            <w:tcW w:w="529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sz w:val="20"/>
              </w:rPr>
              <w:t xml:space="preserve">Plus: Net income applicable to </w:t>
            </w:r>
            <w:proofErr w:type="spellStart"/>
            <w:r>
              <w:rPr>
                <w:sz w:val="20"/>
              </w:rPr>
              <w:t>noncontrolling</w:t>
            </w:r>
            <w:proofErr w:type="spellEnd"/>
            <w:r>
              <w:rPr>
                <w:sz w:val="20"/>
              </w:rPr>
              <w:t xml:space="preserve"> interest</w:t>
            </w:r>
          </w:p>
        </w:tc>
        <w:tc>
          <w:tcPr>
            <w:tcW w:w="127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26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80"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4</w:t>
            </w:r>
          </w:p>
        </w:tc>
      </w:tr>
      <w:tr w:rsidR="0055425F">
        <w:trPr>
          <w:trHeight w:hRule="exact" w:val="300"/>
          <w:jc w:val="center"/>
        </w:trPr>
        <w:tc>
          <w:tcPr>
            <w:tcW w:w="529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Net income applicable to Piedmont</w:t>
            </w:r>
          </w:p>
        </w:tc>
        <w:tc>
          <w:tcPr>
            <w:tcW w:w="100" w:type="dxa"/>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w:t>
            </w:r>
          </w:p>
        </w:tc>
        <w:tc>
          <w:tcPr>
            <w:tcW w:w="1175" w:type="dxa"/>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8,153</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1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10,942</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9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58,361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9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68,772</w:t>
            </w:r>
          </w:p>
        </w:tc>
      </w:tr>
      <w:tr w:rsidR="0055425F">
        <w:trPr>
          <w:trHeight w:hRule="exact" w:val="360"/>
          <w:jc w:val="center"/>
        </w:trPr>
        <w:tc>
          <w:tcPr>
            <w:tcW w:w="529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sz w:val="20"/>
              </w:rPr>
              <w:t>Weighted average common shares outstanding - diluted</w:t>
            </w:r>
          </w:p>
        </w:tc>
        <w:tc>
          <w:tcPr>
            <w:tcW w:w="1275" w:type="dxa"/>
            <w:gridSpan w:val="2"/>
            <w:tcBorders>
              <w:top w:val="doub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126,491</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260" w:type="dxa"/>
            <w:gridSpan w:val="2"/>
            <w:tcBorders>
              <w:top w:val="doub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128,701</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doub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126,404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80" w:type="dxa"/>
            <w:gridSpan w:val="2"/>
            <w:tcBorders>
              <w:top w:val="doub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132,432</w:t>
            </w:r>
          </w:p>
        </w:tc>
      </w:tr>
      <w:tr w:rsidR="0055425F">
        <w:trPr>
          <w:trHeight w:hRule="exact" w:val="495"/>
          <w:jc w:val="center"/>
        </w:trPr>
        <w:tc>
          <w:tcPr>
            <w:tcW w:w="529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Net income per share applicable to common stockholders - diluted</w:t>
            </w:r>
          </w:p>
        </w:tc>
        <w:tc>
          <w:tcPr>
            <w:tcW w:w="100"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w:t>
            </w:r>
          </w:p>
        </w:tc>
        <w:tc>
          <w:tcPr>
            <w:tcW w:w="11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0.06</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16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0.09</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965"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0.46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98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0.52</w:t>
            </w:r>
          </w:p>
        </w:tc>
      </w:tr>
    </w:tbl>
    <w:p w:rsidR="0055425F" w:rsidRDefault="0055425F">
      <w:pPr>
        <w:spacing w:before="120"/>
        <w:jc w:val="center"/>
      </w:pPr>
    </w:p>
    <w:p w:rsidR="0055425F" w:rsidRDefault="0055425F">
      <w:pPr>
        <w:spacing w:before="120"/>
        <w:jc w:val="center"/>
        <w:sectPr w:rsidR="0055425F">
          <w:headerReference w:type="default" r:id="rId9"/>
          <w:footerReference w:type="default" r:id="rId10"/>
          <w:pgSz w:w="12240" w:h="15840"/>
          <w:pgMar w:top="855" w:right="990" w:bottom="855" w:left="990" w:header="270" w:footer="270" w:gutter="0"/>
          <w:cols w:space="720"/>
        </w:sectPr>
      </w:pPr>
    </w:p>
    <w:p w:rsidR="0055425F" w:rsidRDefault="0055425F">
      <w:bookmarkStart w:id="3" w:name="Section4"/>
      <w:bookmarkEnd w:id="3"/>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206"/>
        <w:gridCol w:w="1041"/>
        <w:gridCol w:w="101"/>
        <w:gridCol w:w="100"/>
        <w:gridCol w:w="1045"/>
        <w:gridCol w:w="72"/>
        <w:gridCol w:w="100"/>
        <w:gridCol w:w="1045"/>
        <w:gridCol w:w="72"/>
        <w:gridCol w:w="100"/>
        <w:gridCol w:w="1045"/>
      </w:tblGrid>
      <w:tr w:rsidR="0055425F">
        <w:trPr>
          <w:trHeight w:hRule="exact" w:val="300"/>
          <w:jc w:val="center"/>
        </w:trPr>
        <w:tc>
          <w:tcPr>
            <w:tcW w:w="538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sz w:val="20"/>
              </w:rPr>
              <w:t>Piedmont Office Realty Trust, Inc.</w:t>
            </w:r>
          </w:p>
        </w:tc>
        <w:tc>
          <w:tcPr>
            <w:tcW w:w="115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285"/>
          <w:jc w:val="center"/>
        </w:trPr>
        <w:tc>
          <w:tcPr>
            <w:tcW w:w="9030" w:type="dxa"/>
            <w:gridSpan w:val="9"/>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sz w:val="20"/>
              </w:rPr>
              <w:t>Funds From Operations, Core Funds From Operations and Adjusted Funds From Operations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300"/>
          <w:jc w:val="center"/>
        </w:trPr>
        <w:tc>
          <w:tcPr>
            <w:tcW w:w="538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i/>
                <w:sz w:val="20"/>
              </w:rPr>
              <w:t>Unaudited (in thousands, except for per share data)</w:t>
            </w:r>
          </w:p>
        </w:tc>
        <w:tc>
          <w:tcPr>
            <w:tcW w:w="115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75"/>
          <w:jc w:val="center"/>
        </w:trPr>
        <w:tc>
          <w:tcPr>
            <w:tcW w:w="538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0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420"/>
          <w:jc w:val="center"/>
        </w:trPr>
        <w:tc>
          <w:tcPr>
            <w:tcW w:w="538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2415" w:type="dxa"/>
            <w:gridSpan w:val="5"/>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jc w:val="center"/>
            </w:pPr>
            <w:r>
              <w:rPr>
                <w:b/>
                <w:sz w:val="20"/>
              </w:rPr>
              <w:t>Three Months Ended</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2385" w:type="dxa"/>
            <w:gridSpan w:val="5"/>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jc w:val="center"/>
            </w:pPr>
            <w:r>
              <w:rPr>
                <w:b/>
                <w:sz w:val="20"/>
              </w:rPr>
              <w:t>Six Months Ended</w:t>
            </w:r>
          </w:p>
        </w:tc>
      </w:tr>
      <w:tr w:rsidR="0055425F">
        <w:trPr>
          <w:trHeight w:hRule="exact" w:val="300"/>
          <w:jc w:val="center"/>
        </w:trPr>
        <w:tc>
          <w:tcPr>
            <w:tcW w:w="538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6/30/2019</w:t>
            </w:r>
          </w:p>
        </w:tc>
        <w:tc>
          <w:tcPr>
            <w:tcW w:w="10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6/30/2018</w:t>
            </w:r>
          </w:p>
        </w:tc>
      </w:tr>
      <w:tr w:rsidR="0055425F">
        <w:trPr>
          <w:trHeight w:hRule="exact" w:val="255"/>
          <w:jc w:val="center"/>
        </w:trPr>
        <w:tc>
          <w:tcPr>
            <w:tcW w:w="53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GAAP net income applicable to common stock</w:t>
            </w:r>
          </w:p>
        </w:tc>
        <w:tc>
          <w:tcPr>
            <w:tcW w:w="100" w:type="dxa"/>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w:t>
            </w:r>
          </w:p>
        </w:tc>
        <w:tc>
          <w:tcPr>
            <w:tcW w:w="1055" w:type="dxa"/>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8,153</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10,942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58,361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68,772</w:t>
            </w:r>
          </w:p>
        </w:tc>
      </w:tr>
      <w:tr w:rsidR="0055425F">
        <w:trPr>
          <w:trHeight w:hRule="exact" w:val="300"/>
          <w:jc w:val="center"/>
        </w:trPr>
        <w:tc>
          <w:tcPr>
            <w:tcW w:w="53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450" w:hanging="180"/>
              <w:outlineLvl w:val="0"/>
            </w:pPr>
            <w:r>
              <w:rPr>
                <w:sz w:val="20"/>
              </w:rPr>
              <w:t>Depreciation of real estate assets</w:t>
            </w:r>
            <w:r>
              <w:rPr>
                <w:sz w:val="20"/>
                <w:vertAlign w:val="superscript"/>
              </w:rPr>
              <w:t>(1)</w:t>
            </w:r>
          </w:p>
        </w:tc>
        <w:tc>
          <w:tcPr>
            <w:tcW w:w="115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26,128</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26,894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52,437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53,863</w:t>
            </w:r>
          </w:p>
        </w:tc>
      </w:tr>
      <w:tr w:rsidR="0055425F">
        <w:trPr>
          <w:trHeight w:hRule="exact" w:val="300"/>
          <w:jc w:val="center"/>
        </w:trPr>
        <w:tc>
          <w:tcPr>
            <w:tcW w:w="53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firstLine="270"/>
            </w:pPr>
            <w:r>
              <w:rPr>
                <w:color w:val="000000"/>
                <w:sz w:val="20"/>
              </w:rPr>
              <w:t>Amortization of lease-related costs</w:t>
            </w:r>
          </w:p>
        </w:tc>
        <w:tc>
          <w:tcPr>
            <w:tcW w:w="115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18,446</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15,229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36,131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31,945</w:t>
            </w:r>
          </w:p>
        </w:tc>
      </w:tr>
      <w:tr w:rsidR="0055425F">
        <w:trPr>
          <w:trHeight w:hRule="exact" w:val="300"/>
          <w:jc w:val="center"/>
        </w:trPr>
        <w:tc>
          <w:tcPr>
            <w:tcW w:w="53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firstLine="270"/>
            </w:pPr>
            <w:r>
              <w:rPr>
                <w:color w:val="000000"/>
                <w:sz w:val="20"/>
              </w:rPr>
              <w:t>Gain on sale of real estate assets</w:t>
            </w:r>
          </w:p>
        </w:tc>
        <w:tc>
          <w:tcPr>
            <w:tcW w:w="115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(1,451)</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(39,338)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(45,186)</w:t>
            </w:r>
          </w:p>
        </w:tc>
      </w:tr>
      <w:tr w:rsidR="0055425F">
        <w:trPr>
          <w:trHeight w:hRule="exact" w:val="465"/>
          <w:jc w:val="center"/>
        </w:trPr>
        <w:tc>
          <w:tcPr>
            <w:tcW w:w="53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lastRenderedPageBreak/>
              <w:t>NAREIT Funds From Operations applicable to common stock*</w:t>
            </w:r>
          </w:p>
        </w:tc>
        <w:tc>
          <w:tcPr>
            <w:tcW w:w="1155" w:type="dxa"/>
            <w:gridSpan w:val="2"/>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51,276</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53,088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107,591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109,394</w:t>
            </w:r>
          </w:p>
        </w:tc>
      </w:tr>
      <w:tr w:rsidR="0055425F">
        <w:trPr>
          <w:trHeight w:hRule="exact" w:val="495"/>
          <w:jc w:val="center"/>
        </w:trPr>
        <w:tc>
          <w:tcPr>
            <w:tcW w:w="53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450" w:hanging="180"/>
            </w:pPr>
            <w:r>
              <w:rPr>
                <w:sz w:val="20"/>
              </w:rPr>
              <w:t>Retirement and separation expenses associated with senior management transition</w:t>
            </w:r>
          </w:p>
        </w:tc>
        <w:tc>
          <w:tcPr>
            <w:tcW w:w="115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3,175</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3,175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w:t>
            </w:r>
          </w:p>
        </w:tc>
      </w:tr>
      <w:tr w:rsidR="0055425F">
        <w:trPr>
          <w:trHeight w:hRule="exact" w:val="315"/>
          <w:jc w:val="center"/>
        </w:trPr>
        <w:tc>
          <w:tcPr>
            <w:tcW w:w="53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270"/>
            </w:pPr>
            <w:r>
              <w:rPr>
                <w:color w:val="000000"/>
                <w:sz w:val="20"/>
              </w:rPr>
              <w:t>Loss on extinguishment of debt</w:t>
            </w:r>
          </w:p>
        </w:tc>
        <w:tc>
          <w:tcPr>
            <w:tcW w:w="115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1,680</w:t>
            </w:r>
          </w:p>
        </w:tc>
      </w:tr>
      <w:tr w:rsidR="0055425F">
        <w:trPr>
          <w:trHeight w:hRule="exact" w:val="405"/>
          <w:jc w:val="center"/>
        </w:trPr>
        <w:tc>
          <w:tcPr>
            <w:tcW w:w="53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20"/>
              </w:rPr>
              <w:t>Core Funds From Operations applicable to common stock*</w:t>
            </w:r>
          </w:p>
        </w:tc>
        <w:tc>
          <w:tcPr>
            <w:tcW w:w="1155" w:type="dxa"/>
            <w:gridSpan w:val="2"/>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b/>
                <w:sz w:val="20"/>
              </w:rPr>
              <w:t>54,451</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53,088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110,766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111,074</w:t>
            </w:r>
          </w:p>
        </w:tc>
      </w:tr>
      <w:tr w:rsidR="0055425F">
        <w:trPr>
          <w:trHeight w:hRule="exact" w:val="495"/>
          <w:jc w:val="center"/>
        </w:trPr>
        <w:tc>
          <w:tcPr>
            <w:tcW w:w="53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450" w:hanging="180"/>
            </w:pPr>
            <w:r>
              <w:rPr>
                <w:color w:val="000000"/>
                <w:sz w:val="20"/>
              </w:rPr>
              <w:t>Amortization of debt issuance costs, fair market adjustments on notes payable, and discounts on debt</w:t>
            </w:r>
          </w:p>
        </w:tc>
        <w:tc>
          <w:tcPr>
            <w:tcW w:w="115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525</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545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1,048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1,011</w:t>
            </w:r>
          </w:p>
        </w:tc>
      </w:tr>
      <w:tr w:rsidR="0055425F">
        <w:trPr>
          <w:trHeight w:hRule="exact" w:val="300"/>
          <w:jc w:val="center"/>
        </w:trPr>
        <w:tc>
          <w:tcPr>
            <w:tcW w:w="53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270"/>
            </w:pPr>
            <w:r>
              <w:rPr>
                <w:color w:val="000000"/>
                <w:sz w:val="20"/>
              </w:rPr>
              <w:t xml:space="preserve">Depreciation of </w:t>
            </w:r>
            <w:proofErr w:type="spellStart"/>
            <w:r>
              <w:rPr>
                <w:color w:val="000000"/>
                <w:sz w:val="20"/>
              </w:rPr>
              <w:t>non real</w:t>
            </w:r>
            <w:proofErr w:type="spellEnd"/>
            <w:r>
              <w:rPr>
                <w:color w:val="000000"/>
                <w:sz w:val="20"/>
              </w:rPr>
              <w:t xml:space="preserve"> estate assets</w:t>
            </w:r>
          </w:p>
        </w:tc>
        <w:tc>
          <w:tcPr>
            <w:tcW w:w="115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212</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213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420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382</w:t>
            </w:r>
          </w:p>
        </w:tc>
      </w:tr>
      <w:tr w:rsidR="0055425F">
        <w:trPr>
          <w:trHeight w:hRule="exact" w:val="300"/>
          <w:jc w:val="center"/>
        </w:trPr>
        <w:tc>
          <w:tcPr>
            <w:tcW w:w="53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270"/>
            </w:pPr>
            <w:r>
              <w:rPr>
                <w:color w:val="000000"/>
                <w:sz w:val="20"/>
              </w:rPr>
              <w:t>Straight-line effects of lease revenue</w:t>
            </w:r>
          </w:p>
        </w:tc>
        <w:tc>
          <w:tcPr>
            <w:tcW w:w="115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(3,223)</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(4,806)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(5,906)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(8,279)</w:t>
            </w:r>
          </w:p>
        </w:tc>
      </w:tr>
      <w:tr w:rsidR="0055425F">
        <w:trPr>
          <w:trHeight w:hRule="exact" w:val="300"/>
          <w:jc w:val="center"/>
        </w:trPr>
        <w:tc>
          <w:tcPr>
            <w:tcW w:w="53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450" w:hanging="180"/>
            </w:pPr>
            <w:r>
              <w:rPr>
                <w:color w:val="000000"/>
                <w:sz w:val="20"/>
              </w:rPr>
              <w:t>Stock-based and other non-cash compensation</w:t>
            </w:r>
          </w:p>
        </w:tc>
        <w:tc>
          <w:tcPr>
            <w:tcW w:w="115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2,184</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2,513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4,964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2,801</w:t>
            </w:r>
          </w:p>
        </w:tc>
      </w:tr>
      <w:tr w:rsidR="0055425F">
        <w:trPr>
          <w:trHeight w:hRule="exact" w:val="495"/>
          <w:jc w:val="center"/>
        </w:trPr>
        <w:tc>
          <w:tcPr>
            <w:tcW w:w="53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450" w:hanging="180"/>
            </w:pPr>
            <w:r>
              <w:rPr>
                <w:color w:val="000000"/>
                <w:sz w:val="20"/>
              </w:rPr>
              <w:t>Net effect of amortization of above/below-market in-place lease intangibles</w:t>
            </w:r>
          </w:p>
        </w:tc>
        <w:tc>
          <w:tcPr>
            <w:tcW w:w="115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(2,088)</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(1,987)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(4,086)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(3,630)</w:t>
            </w:r>
          </w:p>
        </w:tc>
      </w:tr>
      <w:tr w:rsidR="0055425F">
        <w:trPr>
          <w:trHeight w:hRule="exact" w:val="300"/>
          <w:jc w:val="center"/>
        </w:trPr>
        <w:tc>
          <w:tcPr>
            <w:tcW w:w="53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ind w:firstLine="270"/>
            </w:pPr>
            <w:r>
              <w:rPr>
                <w:sz w:val="20"/>
              </w:rPr>
              <w:t>Non-incremental capital expenditures</w:t>
            </w:r>
            <w:r>
              <w:rPr>
                <w:sz w:val="20"/>
                <w:vertAlign w:val="superscript"/>
              </w:rPr>
              <w:t>(2)</w:t>
            </w:r>
          </w:p>
        </w:tc>
        <w:tc>
          <w:tcPr>
            <w:tcW w:w="115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(9,691)</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(10,178)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(13,058)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(18,131)</w:t>
            </w:r>
          </w:p>
        </w:tc>
      </w:tr>
      <w:tr w:rsidR="0055425F">
        <w:trPr>
          <w:trHeight w:hRule="exact" w:val="285"/>
          <w:jc w:val="center"/>
        </w:trPr>
        <w:tc>
          <w:tcPr>
            <w:tcW w:w="53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Adjusted funds from operations applicable to common stock</w:t>
            </w:r>
          </w:p>
        </w:tc>
        <w:tc>
          <w:tcPr>
            <w:tcW w:w="100" w:type="dxa"/>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w:t>
            </w:r>
          </w:p>
        </w:tc>
        <w:tc>
          <w:tcPr>
            <w:tcW w:w="1055" w:type="dxa"/>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42,370</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39,388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94,148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85,228</w:t>
            </w:r>
          </w:p>
        </w:tc>
      </w:tr>
      <w:tr w:rsidR="0055425F">
        <w:trPr>
          <w:trHeight w:hRule="exact" w:val="315"/>
          <w:jc w:val="center"/>
        </w:trPr>
        <w:tc>
          <w:tcPr>
            <w:tcW w:w="53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sz w:val="20"/>
              </w:rPr>
              <w:t>Weighted average common shares outstanding - diluted</w:t>
            </w:r>
          </w:p>
        </w:tc>
        <w:tc>
          <w:tcPr>
            <w:tcW w:w="1155" w:type="dxa"/>
            <w:gridSpan w:val="2"/>
            <w:tcBorders>
              <w:top w:val="doub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126,491</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doub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128,701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doub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126,404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55" w:type="dxa"/>
            <w:gridSpan w:val="2"/>
            <w:tcBorders>
              <w:top w:val="doub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132,432</w:t>
            </w:r>
          </w:p>
        </w:tc>
      </w:tr>
      <w:tr w:rsidR="0055425F">
        <w:trPr>
          <w:trHeight w:hRule="exact" w:val="300"/>
          <w:jc w:val="center"/>
        </w:trPr>
        <w:tc>
          <w:tcPr>
            <w:tcW w:w="53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Funds from operations per share (diluted)</w:t>
            </w:r>
          </w:p>
        </w:tc>
        <w:tc>
          <w:tcPr>
            <w:tcW w:w="100"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w:t>
            </w:r>
          </w:p>
        </w:tc>
        <w:tc>
          <w:tcPr>
            <w:tcW w:w="10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0.41</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0.41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0.85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0.83</w:t>
            </w:r>
          </w:p>
        </w:tc>
      </w:tr>
      <w:tr w:rsidR="0055425F">
        <w:trPr>
          <w:trHeight w:hRule="exact" w:val="300"/>
          <w:jc w:val="center"/>
        </w:trPr>
        <w:tc>
          <w:tcPr>
            <w:tcW w:w="53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20"/>
              </w:rPr>
              <w:t>Core funds from operations per share (diluted)</w:t>
            </w:r>
          </w:p>
        </w:tc>
        <w:tc>
          <w:tcPr>
            <w:tcW w:w="100"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20"/>
              </w:rPr>
              <w:t>$</w:t>
            </w:r>
          </w:p>
        </w:tc>
        <w:tc>
          <w:tcPr>
            <w:tcW w:w="105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b/>
                <w:sz w:val="20"/>
              </w:rPr>
              <w:t>0.43</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0.41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0.88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pPr>
            <w:r>
              <w:rPr>
                <w:b/>
                <w:sz w:val="20"/>
              </w:rPr>
              <w:t>$</w:t>
            </w:r>
          </w:p>
        </w:tc>
        <w:tc>
          <w:tcPr>
            <w:tcW w:w="1055" w:type="dxa"/>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0.84</w:t>
            </w:r>
          </w:p>
        </w:tc>
      </w:tr>
      <w:tr w:rsidR="0055425F">
        <w:trPr>
          <w:trHeight w:hRule="exact" w:val="225"/>
          <w:jc w:val="center"/>
        </w:trPr>
        <w:tc>
          <w:tcPr>
            <w:tcW w:w="538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r>
    </w:tbl>
    <w:p w:rsidR="0055425F" w:rsidRDefault="0055425F">
      <w:pPr>
        <w:spacing w:before="120"/>
      </w:pPr>
    </w:p>
    <w:p w:rsidR="0055425F" w:rsidRDefault="00F02B34">
      <w:pPr>
        <w:spacing w:after="60"/>
      </w:pPr>
      <w:r>
        <w:rPr>
          <w:i/>
          <w:color w:val="000000"/>
          <w:sz w:val="20"/>
          <w:vertAlign w:val="superscript"/>
        </w:rPr>
        <w:t xml:space="preserve">(1) </w:t>
      </w:r>
      <w:r>
        <w:rPr>
          <w:i/>
          <w:color w:val="000000"/>
          <w:sz w:val="20"/>
        </w:rPr>
        <w:t xml:space="preserve">Excludes depreciation of </w:t>
      </w:r>
      <w:proofErr w:type="spellStart"/>
      <w:r>
        <w:rPr>
          <w:i/>
          <w:color w:val="000000"/>
          <w:sz w:val="20"/>
        </w:rPr>
        <w:t>non real</w:t>
      </w:r>
      <w:proofErr w:type="spellEnd"/>
      <w:r>
        <w:rPr>
          <w:i/>
          <w:color w:val="000000"/>
          <w:sz w:val="20"/>
        </w:rPr>
        <w:t xml:space="preserve"> estate assets.</w:t>
      </w:r>
    </w:p>
    <w:p w:rsidR="0055425F" w:rsidRDefault="00F02B34">
      <w:pPr>
        <w:spacing w:after="60"/>
        <w:ind w:left="270" w:hanging="270"/>
      </w:pPr>
      <w:r>
        <w:rPr>
          <w:i/>
          <w:color w:val="000000"/>
          <w:sz w:val="20"/>
          <w:vertAlign w:val="superscript"/>
        </w:rPr>
        <w:t xml:space="preserve">(2) </w:t>
      </w:r>
      <w:r>
        <w:rPr>
          <w:i/>
          <w:color w:val="000000"/>
          <w:sz w:val="20"/>
        </w:rPr>
        <w:t>Capital expenditures of a recurring nature related to tenant improvements and leasing commissions that do not incrementally enhance the underlying assets' income generating capacity. Tenant improvements, leasing commissions, building capital and deferred lease incentives incurred to lease space that was vacant at acquisition, leasing costs for spaces vacant for greater than one year, leasing costs for spaces at newly acquired properties for which in-place leases expire shortly after acquisition, improvements associated with the expansion of a building and renovations that change the underlying classification of a building are excluded from this measure.</w:t>
      </w:r>
    </w:p>
    <w:p w:rsidR="0055425F" w:rsidRDefault="0055425F">
      <w:pPr>
        <w:pageBreakBefore/>
        <w:spacing w:after="60"/>
        <w:ind w:left="270" w:hanging="270"/>
      </w:pPr>
    </w:p>
    <w:p w:rsidR="0055425F" w:rsidRDefault="00F02B34">
      <w:r>
        <w:rPr>
          <w:rFonts w:ascii="Arial" w:eastAsia="Arial" w:hAnsi="Arial" w:cs="Arial"/>
          <w:b/>
          <w:color w:val="000000"/>
          <w:sz w:val="16"/>
          <w:shd w:val="clear" w:color="auto" w:fill="FFFFFF"/>
        </w:rPr>
        <w:t>*Definitions: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55425F">
        <w:trPr>
          <w:trHeight w:hRule="exact" w:val="195"/>
          <w:jc w:val="center"/>
        </w:trPr>
        <w:tc>
          <w:tcPr>
            <w:tcW w:w="10260"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1860"/>
          <w:jc w:val="center"/>
        </w:trPr>
        <w:tc>
          <w:tcPr>
            <w:tcW w:w="10260"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sz w:val="16"/>
              </w:rPr>
              <w:t>Funds From Operations ("FFO"): The Company calculates FFO in accordance with the current National Association of Real Estate Investment Trusts (“NAREIT”) definition. NAREIT currently defines FFO as net income (computed in accordance with GAAP), excluding gains or losses from sales of property and impairment losses, adding back depreciation and amortization on real estate assets, and after the same adjustments for unconsolidated partnerships and joint ventures. These adjustments can vary among owners of identical assets in similar conditions based on historical cost accounting and useful-life estimates. FFO is a non-GAAP financial measure and should not be viewed as an alternative to net income calculated in accordance with GAAP as a measurement of the Company’s operating performance. The Company believes that FFO is helpful to investors as a supplemental performance measure because it excludes the effects of depreciation, amortization and gains or losses from sales of real estate, all of which are based on historical costs, which implicitly assumes that the value of real estate diminishes predictably over time. The Company also believes that FFO can help facilitate comparisons of operating performance between periods and with other REITs. However, other REITs may not define FFO in accordance with the NAREIT definition, or may interpret the current NAREIT definition differently than the Company; therefore, the Company’s computation of FFO may not be comparable to that of such other REITs.</w:t>
            </w:r>
          </w:p>
        </w:tc>
      </w:tr>
      <w:tr w:rsidR="0055425F">
        <w:trPr>
          <w:trHeight w:hRule="exact" w:val="180"/>
          <w:jc w:val="center"/>
        </w:trPr>
        <w:tc>
          <w:tcPr>
            <w:tcW w:w="10260"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1380"/>
          <w:jc w:val="center"/>
        </w:trPr>
        <w:tc>
          <w:tcPr>
            <w:tcW w:w="10260"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sz w:val="16"/>
              </w:rPr>
              <w:t>Core Funds From Operations ("Core FFO"): The Company calculates Core FFO by starting with FFO, as defined by NAREIT, and adjusting for gains or losses on the extinguishment of swaps and/or debt, acquisition-related expenses (that are not capitalized) and any significant non-recurring items. Core FFO is a non-GAAP financial measure and should not be viewed as an alternative to net income calculated in accordance with GAAP as a measurement of the Company’s operating performance. The Company believes that Core FFO is helpful to investors as a supplemental performance measure because it excludes the effects of certain items which can create significant earnings volatility, but which do not directly relate to the Company’s core business operations. As a result, the Company believes that Core FFO can help facilitate comparisons of operating performance between periods and provides a more meaningful predictor of future earnings potential. Other REITs may not define Core FFO in the same manner as the Company; therefore, the Company’s computation of Core FFO may not be comparable to that of other REITs.</w:t>
            </w:r>
          </w:p>
        </w:tc>
      </w:tr>
      <w:tr w:rsidR="0055425F">
        <w:trPr>
          <w:trHeight w:hRule="exact" w:val="195"/>
          <w:jc w:val="center"/>
        </w:trPr>
        <w:tc>
          <w:tcPr>
            <w:tcW w:w="10260"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1215"/>
          <w:jc w:val="center"/>
        </w:trPr>
        <w:tc>
          <w:tcPr>
            <w:tcW w:w="10260"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sz w:val="16"/>
              </w:rPr>
              <w:t>Adjusted Funds From Operations ("AFFO"): The Company calculates AFFO by starting with Core FFO and adjusting for non-incremental capital expenditures and acquisition-related costs (that are not capitalized) and then adding back non-cash items including: non-real estate depreciation, straight-lined rents and fair value lease adjustments, non-cash components of interest expense and compensation expense, and by making similar adjustments for unconsolidated partnerships and joint ventures.  AFFO is a non-GAAP financial measure and should not be viewed as an alternative to net income calculated in accordance with GAAP as a measurement of the Company’s operating performance.  The Company believes that AFFO is helpful to investors as a meaningful supplemental comparative performance measure of our ability to make incremental capital investments.  Other REITs may not define AFFO in the same manner as the Company; therefore, the Company’s computation of AFFO may not be comparable to that of other REITs.</w:t>
            </w:r>
          </w:p>
        </w:tc>
      </w:tr>
    </w:tbl>
    <w:p w:rsidR="0055425F" w:rsidRDefault="0055425F">
      <w:pPr>
        <w:spacing w:before="120"/>
        <w:jc w:val="center"/>
      </w:pPr>
    </w:p>
    <w:p w:rsidR="0055425F" w:rsidRDefault="0055425F">
      <w:pPr>
        <w:spacing w:before="120"/>
        <w:jc w:val="center"/>
        <w:sectPr w:rsidR="0055425F">
          <w:type w:val="continuous"/>
          <w:pgSz w:w="12240" w:h="15840"/>
          <w:pgMar w:top="855" w:right="990" w:bottom="855" w:left="990" w:header="270" w:footer="270" w:gutter="0"/>
          <w:cols w:space="720"/>
        </w:sectPr>
      </w:pPr>
    </w:p>
    <w:p w:rsidR="0055425F" w:rsidRDefault="0055425F">
      <w:bookmarkStart w:id="4" w:name="Section5"/>
      <w:bookmarkEnd w:id="4"/>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206"/>
        <w:gridCol w:w="722"/>
        <w:gridCol w:w="258"/>
        <w:gridCol w:w="112"/>
        <w:gridCol w:w="206"/>
        <w:gridCol w:w="929"/>
        <w:gridCol w:w="112"/>
        <w:gridCol w:w="206"/>
        <w:gridCol w:w="671"/>
        <w:gridCol w:w="258"/>
        <w:gridCol w:w="112"/>
        <w:gridCol w:w="206"/>
        <w:gridCol w:w="980"/>
      </w:tblGrid>
      <w:tr w:rsidR="0055425F">
        <w:trPr>
          <w:trHeight w:hRule="exact" w:val="300"/>
        </w:trPr>
        <w:tc>
          <w:tcPr>
            <w:tcW w:w="478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sz w:val="20"/>
              </w:rPr>
              <w:t>Piedmont Office Realty Trust, Inc.</w:t>
            </w:r>
          </w:p>
        </w:tc>
        <w:tc>
          <w:tcPr>
            <w:tcW w:w="1125" w:type="dxa"/>
            <w:gridSpan w:val="3"/>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065" w:type="dxa"/>
            <w:gridSpan w:val="2"/>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065" w:type="dxa"/>
            <w:gridSpan w:val="3"/>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125" w:type="dxa"/>
            <w:gridSpan w:val="2"/>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r>
      <w:tr w:rsidR="0055425F">
        <w:trPr>
          <w:trHeight w:hRule="exact" w:val="495"/>
        </w:trPr>
        <w:tc>
          <w:tcPr>
            <w:tcW w:w="7125" w:type="dxa"/>
            <w:gridSpan w:val="8"/>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widowControl w:val="0"/>
              <w:spacing w:line="200" w:lineRule="auto"/>
              <w:ind w:left="180" w:hanging="180"/>
              <w:outlineLvl w:val="0"/>
            </w:pPr>
            <w:proofErr w:type="spellStart"/>
            <w:r>
              <w:rPr>
                <w:b/>
                <w:color w:val="000000"/>
                <w:sz w:val="20"/>
              </w:rPr>
              <w:t>EBITDAre</w:t>
            </w:r>
            <w:proofErr w:type="spellEnd"/>
            <w:r>
              <w:rPr>
                <w:b/>
                <w:color w:val="000000"/>
                <w:sz w:val="20"/>
              </w:rPr>
              <w:t>, Core EBITDA, Property Net Operating Income (Cash and Accrual), Same Store Net Operating Income (Cash and Accrual)</w:t>
            </w:r>
          </w:p>
        </w:tc>
        <w:tc>
          <w:tcPr>
            <w:tcW w:w="1065" w:type="dxa"/>
            <w:gridSpan w:val="3"/>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125" w:type="dxa"/>
            <w:gridSpan w:val="2"/>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r>
      <w:tr w:rsidR="0055425F">
        <w:trPr>
          <w:trHeight w:hRule="exact" w:val="315"/>
        </w:trPr>
        <w:tc>
          <w:tcPr>
            <w:tcW w:w="478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i/>
                <w:sz w:val="20"/>
              </w:rPr>
              <w:t>Unaudited (in thousands)</w:t>
            </w:r>
          </w:p>
        </w:tc>
        <w:tc>
          <w:tcPr>
            <w:tcW w:w="1125" w:type="dxa"/>
            <w:gridSpan w:val="3"/>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065" w:type="dxa"/>
            <w:gridSpan w:val="2"/>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065" w:type="dxa"/>
            <w:gridSpan w:val="3"/>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125" w:type="dxa"/>
            <w:gridSpan w:val="2"/>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r>
      <w:tr w:rsidR="0055425F">
        <w:trPr>
          <w:trHeight w:hRule="exact" w:val="315"/>
        </w:trPr>
        <w:tc>
          <w:tcPr>
            <w:tcW w:w="4785" w:type="dxa"/>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1125" w:type="dxa"/>
            <w:gridSpan w:val="3"/>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75" w:type="dxa"/>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106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75" w:type="dxa"/>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1065" w:type="dxa"/>
            <w:gridSpan w:val="3"/>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75" w:type="dxa"/>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112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r>
      <w:tr w:rsidR="0055425F">
        <w:trPr>
          <w:trHeight w:hRule="exact" w:val="315"/>
        </w:trPr>
        <w:tc>
          <w:tcPr>
            <w:tcW w:w="478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2265" w:type="dxa"/>
            <w:gridSpan w:val="6"/>
            <w:vMerge w:val="restart"/>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jc w:val="center"/>
            </w:pPr>
            <w:r>
              <w:rPr>
                <w:b/>
                <w:sz w:val="20"/>
              </w:rPr>
              <w:t>Cash Basis</w:t>
            </w: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2265" w:type="dxa"/>
            <w:gridSpan w:val="6"/>
            <w:vMerge w:val="restart"/>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jc w:val="center"/>
            </w:pPr>
            <w:r>
              <w:rPr>
                <w:b/>
                <w:sz w:val="20"/>
              </w:rPr>
              <w:t>Accrual Basis</w:t>
            </w:r>
          </w:p>
        </w:tc>
      </w:tr>
      <w:tr w:rsidR="0055425F">
        <w:trPr>
          <w:trHeight w:hRule="exact" w:val="495"/>
        </w:trPr>
        <w:tc>
          <w:tcPr>
            <w:tcW w:w="478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2265" w:type="dxa"/>
            <w:gridSpan w:val="6"/>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Three Months Ended</w:t>
            </w: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2265" w:type="dxa"/>
            <w:gridSpan w:val="6"/>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Three Months Ended</w:t>
            </w:r>
          </w:p>
        </w:tc>
      </w:tr>
      <w:tr w:rsidR="0055425F">
        <w:trPr>
          <w:trHeight w:hRule="exact" w:val="495"/>
        </w:trPr>
        <w:tc>
          <w:tcPr>
            <w:tcW w:w="478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125" w:type="dxa"/>
            <w:gridSpan w:val="3"/>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6/30/2019</w:t>
            </w:r>
          </w:p>
        </w:tc>
        <w:tc>
          <w:tcPr>
            <w:tcW w:w="75" w:type="dxa"/>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106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6/30/2018</w:t>
            </w: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065" w:type="dxa"/>
            <w:gridSpan w:val="3"/>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6/30/2019</w:t>
            </w:r>
          </w:p>
        </w:tc>
        <w:tc>
          <w:tcPr>
            <w:tcW w:w="75" w:type="dxa"/>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112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6/30/2018</w:t>
            </w:r>
          </w:p>
        </w:tc>
      </w:tr>
      <w:tr w:rsidR="0055425F">
        <w:trPr>
          <w:trHeight w:hRule="exact" w:val="315"/>
        </w:trPr>
        <w:tc>
          <w:tcPr>
            <w:tcW w:w="478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125" w:type="dxa"/>
            <w:gridSpan w:val="3"/>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06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065" w:type="dxa"/>
            <w:gridSpan w:val="3"/>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c>
          <w:tcPr>
            <w:tcW w:w="7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55425F">
            <w:pPr>
              <w:spacing w:line="200" w:lineRule="auto"/>
            </w:pPr>
          </w:p>
        </w:tc>
        <w:tc>
          <w:tcPr>
            <w:tcW w:w="112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55425F">
            <w:pPr>
              <w:spacing w:line="200" w:lineRule="auto"/>
            </w:pPr>
          </w:p>
        </w:tc>
      </w:tr>
      <w:tr w:rsidR="0055425F">
        <w:trPr>
          <w:trHeight w:hRule="exact" w:val="315"/>
        </w:trPr>
        <w:tc>
          <w:tcPr>
            <w:tcW w:w="47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GAAP net income applicable to common stock</w:t>
            </w:r>
          </w:p>
        </w:tc>
        <w:tc>
          <w:tcPr>
            <w:tcW w:w="100"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w:t>
            </w:r>
          </w:p>
        </w:tc>
        <w:tc>
          <w:tcPr>
            <w:tcW w:w="102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8,153</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0"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w:t>
            </w:r>
          </w:p>
        </w:tc>
        <w:tc>
          <w:tcPr>
            <w:tcW w:w="96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10,942</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0"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w:t>
            </w:r>
          </w:p>
        </w:tc>
        <w:tc>
          <w:tcPr>
            <w:tcW w:w="96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8,153</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0"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w:t>
            </w:r>
          </w:p>
        </w:tc>
        <w:tc>
          <w:tcPr>
            <w:tcW w:w="102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10,942</w:t>
            </w:r>
          </w:p>
        </w:tc>
      </w:tr>
      <w:tr w:rsidR="0055425F">
        <w:trPr>
          <w:trHeight w:hRule="exact" w:val="315"/>
        </w:trPr>
        <w:tc>
          <w:tcPr>
            <w:tcW w:w="47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sz w:val="20"/>
              </w:rPr>
              <w:t xml:space="preserve">Net loss applicable to </w:t>
            </w:r>
            <w:proofErr w:type="spellStart"/>
            <w:r>
              <w:rPr>
                <w:sz w:val="20"/>
              </w:rPr>
              <w:t>noncontrolling</w:t>
            </w:r>
            <w:proofErr w:type="spellEnd"/>
            <w:r>
              <w:rPr>
                <w:sz w:val="20"/>
              </w:rPr>
              <w:t xml:space="preserve"> interest</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6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6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12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w:t>
            </w:r>
          </w:p>
        </w:tc>
      </w:tr>
      <w:tr w:rsidR="0055425F">
        <w:trPr>
          <w:trHeight w:hRule="exact" w:val="315"/>
        </w:trPr>
        <w:tc>
          <w:tcPr>
            <w:tcW w:w="47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Interest expense</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15,112</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6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15,687</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6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15,112</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12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15,687</w:t>
            </w:r>
          </w:p>
        </w:tc>
      </w:tr>
      <w:tr w:rsidR="0055425F">
        <w:trPr>
          <w:trHeight w:hRule="exact" w:val="315"/>
        </w:trPr>
        <w:tc>
          <w:tcPr>
            <w:tcW w:w="47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 xml:space="preserve">Depreciation </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26,340</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6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27,107</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6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26,340</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12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27,107</w:t>
            </w:r>
          </w:p>
        </w:tc>
      </w:tr>
      <w:tr w:rsidR="0055425F">
        <w:trPr>
          <w:trHeight w:hRule="exact" w:val="315"/>
        </w:trPr>
        <w:tc>
          <w:tcPr>
            <w:tcW w:w="47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 xml:space="preserve">Amortization </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18,446</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06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15,229</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06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18,446</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12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15,229</w:t>
            </w:r>
          </w:p>
        </w:tc>
      </w:tr>
      <w:tr w:rsidR="0055425F">
        <w:trPr>
          <w:trHeight w:hRule="exact" w:val="315"/>
        </w:trPr>
        <w:tc>
          <w:tcPr>
            <w:tcW w:w="47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sz w:val="20"/>
              </w:rPr>
              <w:t>(Gain)/loss on sale of real estate assets</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(1,451)</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06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23</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06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(1,451)</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12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23</w:t>
            </w:r>
          </w:p>
        </w:tc>
      </w:tr>
      <w:tr w:rsidR="0055425F">
        <w:trPr>
          <w:trHeight w:hRule="exact" w:val="315"/>
        </w:trPr>
        <w:tc>
          <w:tcPr>
            <w:tcW w:w="47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180" w:hanging="180"/>
            </w:pPr>
            <w:proofErr w:type="spellStart"/>
            <w:r>
              <w:rPr>
                <w:b/>
                <w:sz w:val="20"/>
              </w:rPr>
              <w:t>EBITDAre</w:t>
            </w:r>
            <w:proofErr w:type="spellEnd"/>
            <w:r>
              <w:rPr>
                <w:b/>
                <w:sz w:val="20"/>
              </w:rPr>
              <w:t>*</w:t>
            </w:r>
          </w:p>
        </w:tc>
        <w:tc>
          <w:tcPr>
            <w:tcW w:w="1125" w:type="dxa"/>
            <w:gridSpan w:val="3"/>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66,599</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065" w:type="dxa"/>
            <w:gridSpan w:val="2"/>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68,986</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065" w:type="dxa"/>
            <w:gridSpan w:val="3"/>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66,599</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125" w:type="dxa"/>
            <w:gridSpan w:val="2"/>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68,986</w:t>
            </w:r>
          </w:p>
        </w:tc>
      </w:tr>
      <w:tr w:rsidR="0055425F">
        <w:trPr>
          <w:trHeight w:hRule="exact" w:val="525"/>
        </w:trPr>
        <w:tc>
          <w:tcPr>
            <w:tcW w:w="47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540" w:hanging="180"/>
            </w:pPr>
            <w:r>
              <w:rPr>
                <w:sz w:val="20"/>
              </w:rPr>
              <w:t>Retirement and separation expenses associated with senior management transition</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3,175</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06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06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3,175</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125" w:type="dxa"/>
            <w:gridSpan w:val="2"/>
            <w:tcBorders>
              <w:top w:val="nil"/>
              <w:left w:val="nil"/>
              <w:bottom w:val="nil"/>
              <w:right w:val="nil"/>
            </w:tcBorders>
            <w:shd w:val="clear" w:color="auto" w:fill="FFFFFF"/>
            <w:tcMar>
              <w:top w:w="75" w:type="dxa"/>
              <w:left w:w="53" w:type="dxa"/>
              <w:bottom w:w="30" w:type="dxa"/>
              <w:right w:w="15" w:type="dxa"/>
            </w:tcMar>
            <w:vAlign w:val="bottom"/>
          </w:tcPr>
          <w:p w:rsidR="0055425F" w:rsidRDefault="0055425F">
            <w:pPr>
              <w:spacing w:line="200" w:lineRule="auto"/>
            </w:pPr>
          </w:p>
        </w:tc>
      </w:tr>
      <w:tr w:rsidR="0055425F">
        <w:trPr>
          <w:trHeight w:hRule="exact" w:val="315"/>
        </w:trPr>
        <w:tc>
          <w:tcPr>
            <w:tcW w:w="47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Core EBITDA*</w:t>
            </w:r>
          </w:p>
        </w:tc>
        <w:tc>
          <w:tcPr>
            <w:tcW w:w="1125" w:type="dxa"/>
            <w:gridSpan w:val="3"/>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69,774</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65" w:type="dxa"/>
            <w:gridSpan w:val="2"/>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68,986</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65" w:type="dxa"/>
            <w:gridSpan w:val="3"/>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69,774</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125" w:type="dxa"/>
            <w:gridSpan w:val="2"/>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68,986</w:t>
            </w:r>
          </w:p>
        </w:tc>
      </w:tr>
      <w:tr w:rsidR="0055425F">
        <w:trPr>
          <w:trHeight w:hRule="exact" w:val="315"/>
        </w:trPr>
        <w:tc>
          <w:tcPr>
            <w:tcW w:w="47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General &amp; administrative expenses</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9,244</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06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8,258</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06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9,244</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12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8,258</w:t>
            </w:r>
          </w:p>
        </w:tc>
      </w:tr>
      <w:tr w:rsidR="0055425F">
        <w:trPr>
          <w:trHeight w:hRule="exact" w:val="315"/>
        </w:trPr>
        <w:tc>
          <w:tcPr>
            <w:tcW w:w="47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Management fee revenue</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(201)</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6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(200)</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6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(201)</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12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(200)</w:t>
            </w:r>
          </w:p>
        </w:tc>
      </w:tr>
      <w:tr w:rsidR="0055425F">
        <w:trPr>
          <w:trHeight w:hRule="exact" w:val="315"/>
        </w:trPr>
        <w:tc>
          <w:tcPr>
            <w:tcW w:w="47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Other income</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(56)</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6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(157)</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6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(56)</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12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(157)</w:t>
            </w:r>
          </w:p>
        </w:tc>
      </w:tr>
      <w:tr w:rsidR="0055425F">
        <w:trPr>
          <w:trHeight w:hRule="exact" w:val="315"/>
        </w:trPr>
        <w:tc>
          <w:tcPr>
            <w:tcW w:w="47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 xml:space="preserve">Straight line effects of lease revenue </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(3,223)</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06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(4,806)</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06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12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r>
      <w:tr w:rsidR="0055425F">
        <w:trPr>
          <w:trHeight w:hRule="exact" w:val="315"/>
        </w:trPr>
        <w:tc>
          <w:tcPr>
            <w:tcW w:w="47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630" w:hanging="270"/>
            </w:pPr>
            <w:r>
              <w:rPr>
                <w:color w:val="000000"/>
                <w:sz w:val="20"/>
              </w:rPr>
              <w:t>Amortization of lease-related intangibles</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(2,088)</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6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(1,987)</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6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12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r>
      <w:tr w:rsidR="0055425F">
        <w:trPr>
          <w:trHeight w:hRule="exact" w:val="315"/>
        </w:trPr>
        <w:tc>
          <w:tcPr>
            <w:tcW w:w="47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Property NOI*</w:t>
            </w:r>
          </w:p>
        </w:tc>
        <w:tc>
          <w:tcPr>
            <w:tcW w:w="1125" w:type="dxa"/>
            <w:gridSpan w:val="3"/>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73,450</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65" w:type="dxa"/>
            <w:gridSpan w:val="2"/>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70,094</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65" w:type="dxa"/>
            <w:gridSpan w:val="3"/>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78,761</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125" w:type="dxa"/>
            <w:gridSpan w:val="2"/>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76,887</w:t>
            </w:r>
          </w:p>
        </w:tc>
      </w:tr>
      <w:tr w:rsidR="0055425F">
        <w:trPr>
          <w:trHeight w:hRule="exact" w:val="315"/>
        </w:trPr>
        <w:tc>
          <w:tcPr>
            <w:tcW w:w="47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sz w:val="20"/>
              </w:rPr>
              <w:t>Net operating income from:</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6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6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12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r>
      <w:tr w:rsidR="0055425F">
        <w:trPr>
          <w:trHeight w:hRule="exact" w:val="315"/>
        </w:trPr>
        <w:tc>
          <w:tcPr>
            <w:tcW w:w="47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Acquisitions</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(3,964)</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6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(432)</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6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(4,621)</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12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(696)</w:t>
            </w:r>
          </w:p>
        </w:tc>
      </w:tr>
      <w:tr w:rsidR="0055425F">
        <w:trPr>
          <w:trHeight w:hRule="exact" w:val="315"/>
        </w:trPr>
        <w:tc>
          <w:tcPr>
            <w:tcW w:w="47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Dispositions</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(895)</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06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(4,746)</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06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(895)</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pPr>
          </w:p>
        </w:tc>
        <w:tc>
          <w:tcPr>
            <w:tcW w:w="1125" w:type="dxa"/>
            <w:gridSpan w:val="2"/>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(4,240)</w:t>
            </w:r>
          </w:p>
        </w:tc>
      </w:tr>
      <w:tr w:rsidR="0055425F">
        <w:trPr>
          <w:trHeight w:hRule="exact" w:val="315"/>
        </w:trPr>
        <w:tc>
          <w:tcPr>
            <w:tcW w:w="47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ind w:left="360"/>
            </w:pPr>
            <w:r>
              <w:rPr>
                <w:sz w:val="20"/>
              </w:rPr>
              <w:t>Other investments</w:t>
            </w:r>
            <w:r>
              <w:rPr>
                <w:sz w:val="20"/>
                <w:vertAlign w:val="superscript"/>
              </w:rPr>
              <w:t>(1)</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(246)</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06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(333)</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06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(219)</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pPr>
          </w:p>
        </w:tc>
        <w:tc>
          <w:tcPr>
            <w:tcW w:w="112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(298)</w:t>
            </w:r>
          </w:p>
        </w:tc>
      </w:tr>
      <w:tr w:rsidR="0055425F">
        <w:trPr>
          <w:trHeight w:hRule="exact" w:val="315"/>
        </w:trPr>
        <w:tc>
          <w:tcPr>
            <w:tcW w:w="478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20"/>
              </w:rPr>
              <w:t>Same Store NOI *</w:t>
            </w:r>
          </w:p>
        </w:tc>
        <w:tc>
          <w:tcPr>
            <w:tcW w:w="100" w:type="dxa"/>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20"/>
              </w:rPr>
              <w:t>$</w:t>
            </w:r>
          </w:p>
        </w:tc>
        <w:tc>
          <w:tcPr>
            <w:tcW w:w="1025" w:type="dxa"/>
            <w:gridSpan w:val="2"/>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b/>
                <w:sz w:val="20"/>
              </w:rPr>
              <w:t>68,345</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0" w:type="dxa"/>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20"/>
              </w:rPr>
              <w:t>$</w:t>
            </w:r>
          </w:p>
        </w:tc>
        <w:tc>
          <w:tcPr>
            <w:tcW w:w="965" w:type="dxa"/>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b/>
                <w:sz w:val="20"/>
              </w:rPr>
              <w:t>64,583</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0" w:type="dxa"/>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20"/>
              </w:rPr>
              <w:t>$</w:t>
            </w:r>
          </w:p>
        </w:tc>
        <w:tc>
          <w:tcPr>
            <w:tcW w:w="965" w:type="dxa"/>
            <w:gridSpan w:val="2"/>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b/>
                <w:sz w:val="20"/>
              </w:rPr>
              <w:t>73,026</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55425F">
            <w:pPr>
              <w:spacing w:line="200" w:lineRule="auto"/>
              <w:jc w:val="right"/>
            </w:pPr>
          </w:p>
        </w:tc>
        <w:tc>
          <w:tcPr>
            <w:tcW w:w="100" w:type="dxa"/>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20"/>
              </w:rPr>
              <w:t>$</w:t>
            </w:r>
          </w:p>
        </w:tc>
        <w:tc>
          <w:tcPr>
            <w:tcW w:w="1025" w:type="dxa"/>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b/>
                <w:sz w:val="20"/>
              </w:rPr>
              <w:t>71,653</w:t>
            </w:r>
          </w:p>
        </w:tc>
      </w:tr>
      <w:tr w:rsidR="0055425F">
        <w:trPr>
          <w:trHeight w:hRule="exact" w:val="315"/>
        </w:trPr>
        <w:tc>
          <w:tcPr>
            <w:tcW w:w="478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i/>
                <w:sz w:val="20"/>
              </w:rPr>
              <w:t>Change period over period in Same Store NOI</w:t>
            </w:r>
          </w:p>
        </w:tc>
        <w:tc>
          <w:tcPr>
            <w:tcW w:w="865" w:type="dxa"/>
            <w:gridSpan w:val="2"/>
            <w:tcBorders>
              <w:top w:val="doub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i/>
                <w:sz w:val="20"/>
              </w:rPr>
              <w:t>5.8</w:t>
            </w:r>
          </w:p>
        </w:tc>
        <w:tc>
          <w:tcPr>
            <w:tcW w:w="260" w:type="dxa"/>
            <w:tcBorders>
              <w:top w:val="double" w:sz="8" w:space="0" w:color="000000"/>
              <w:left w:val="nil"/>
              <w:bottom w:val="nil"/>
              <w:right w:val="nil"/>
            </w:tcBorders>
            <w:shd w:val="clear" w:color="auto" w:fill="CCEEFF"/>
            <w:tcMar>
              <w:top w:w="55" w:type="dxa"/>
              <w:left w:w="53" w:type="dxa"/>
              <w:bottom w:w="30" w:type="dxa"/>
              <w:right w:w="15" w:type="dxa"/>
            </w:tcMar>
            <w:vAlign w:val="bottom"/>
          </w:tcPr>
          <w:p w:rsidR="0055425F" w:rsidRDefault="00F02B34">
            <w:pPr>
              <w:spacing w:line="200" w:lineRule="auto"/>
              <w:jc w:val="right"/>
            </w:pPr>
            <w:r>
              <w:rPr>
                <w:i/>
                <w:sz w:val="20"/>
              </w:rPr>
              <w:t>%</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065" w:type="dxa"/>
            <w:gridSpan w:val="2"/>
            <w:tcBorders>
              <w:top w:val="double" w:sz="8" w:space="0" w:color="000000"/>
              <w:left w:val="nil"/>
              <w:bottom w:val="nil"/>
              <w:right w:val="nil"/>
            </w:tcBorders>
            <w:shd w:val="clear" w:color="auto" w:fill="CCEEFF"/>
            <w:tcMar>
              <w:top w:w="55" w:type="dxa"/>
              <w:left w:w="53" w:type="dxa"/>
              <w:bottom w:w="30" w:type="dxa"/>
              <w:right w:w="53" w:type="dxa"/>
            </w:tcMar>
            <w:vAlign w:val="bottom"/>
          </w:tcPr>
          <w:p w:rsidR="0055425F" w:rsidRDefault="00F02B34">
            <w:pPr>
              <w:spacing w:line="200" w:lineRule="auto"/>
              <w:jc w:val="right"/>
            </w:pPr>
            <w:r>
              <w:rPr>
                <w:i/>
                <w:sz w:val="20"/>
              </w:rPr>
              <w:t>N/A</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805" w:type="dxa"/>
            <w:gridSpan w:val="2"/>
            <w:tcBorders>
              <w:top w:val="doub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i/>
                <w:sz w:val="20"/>
              </w:rPr>
              <w:t>1.9</w:t>
            </w:r>
          </w:p>
        </w:tc>
        <w:tc>
          <w:tcPr>
            <w:tcW w:w="260" w:type="dxa"/>
            <w:tcBorders>
              <w:top w:val="double" w:sz="8" w:space="0" w:color="000000"/>
              <w:left w:val="nil"/>
              <w:bottom w:val="nil"/>
              <w:right w:val="nil"/>
            </w:tcBorders>
            <w:shd w:val="clear" w:color="auto" w:fill="CCEEFF"/>
            <w:tcMar>
              <w:top w:w="55" w:type="dxa"/>
              <w:left w:w="53" w:type="dxa"/>
              <w:bottom w:w="30" w:type="dxa"/>
              <w:right w:w="15" w:type="dxa"/>
            </w:tcMar>
            <w:vAlign w:val="bottom"/>
          </w:tcPr>
          <w:p w:rsidR="0055425F" w:rsidRDefault="00F02B34">
            <w:pPr>
              <w:spacing w:line="200" w:lineRule="auto"/>
              <w:jc w:val="right"/>
            </w:pPr>
            <w:r>
              <w:rPr>
                <w:i/>
                <w:sz w:val="20"/>
              </w:rPr>
              <w:t>%</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55425F">
            <w:pPr>
              <w:spacing w:line="200" w:lineRule="auto"/>
              <w:jc w:val="right"/>
            </w:pPr>
          </w:p>
        </w:tc>
        <w:tc>
          <w:tcPr>
            <w:tcW w:w="1125" w:type="dxa"/>
            <w:gridSpan w:val="2"/>
            <w:tcBorders>
              <w:top w:val="double" w:sz="8" w:space="0" w:color="000000"/>
              <w:left w:val="nil"/>
              <w:bottom w:val="nil"/>
              <w:right w:val="nil"/>
            </w:tcBorders>
            <w:shd w:val="clear" w:color="auto" w:fill="CCEEFF"/>
            <w:tcMar>
              <w:top w:w="55" w:type="dxa"/>
              <w:left w:w="53" w:type="dxa"/>
              <w:bottom w:w="30" w:type="dxa"/>
              <w:right w:w="53" w:type="dxa"/>
            </w:tcMar>
            <w:vAlign w:val="bottom"/>
          </w:tcPr>
          <w:p w:rsidR="0055425F" w:rsidRDefault="00F02B34">
            <w:pPr>
              <w:spacing w:line="200" w:lineRule="auto"/>
              <w:jc w:val="right"/>
            </w:pPr>
            <w:r>
              <w:rPr>
                <w:i/>
                <w:sz w:val="20"/>
              </w:rPr>
              <w:t>N/A</w:t>
            </w:r>
          </w:p>
        </w:tc>
      </w:tr>
      <w:tr w:rsidR="0055425F">
        <w:trPr>
          <w:trHeight w:hRule="exact" w:val="315"/>
        </w:trPr>
        <w:tc>
          <w:tcPr>
            <w:tcW w:w="478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3"/>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315"/>
        </w:trPr>
        <w:tc>
          <w:tcPr>
            <w:tcW w:w="478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3"/>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bl>
    <w:p w:rsidR="0055425F" w:rsidRDefault="0055425F">
      <w:pPr>
        <w:spacing w:before="120"/>
      </w:pPr>
    </w:p>
    <w:p w:rsidR="0055425F" w:rsidRDefault="0055425F">
      <w:pPr>
        <w:spacing w:before="120"/>
        <w:sectPr w:rsidR="0055425F">
          <w:headerReference w:type="default" r:id="rId11"/>
          <w:footerReference w:type="default" r:id="rId12"/>
          <w:pgSz w:w="12240" w:h="15840"/>
          <w:pgMar w:top="855" w:right="990" w:bottom="855" w:left="1890" w:header="270" w:footer="270" w:gutter="0"/>
          <w:cols w:space="720"/>
        </w:sectPr>
      </w:pPr>
    </w:p>
    <w:p w:rsidR="0055425F" w:rsidRDefault="0055425F">
      <w:bookmarkStart w:id="5" w:name="Section6"/>
      <w:bookmarkEnd w:id="5"/>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206"/>
        <w:gridCol w:w="753"/>
        <w:gridCol w:w="260"/>
        <w:gridCol w:w="72"/>
        <w:gridCol w:w="100"/>
        <w:gridCol w:w="958"/>
        <w:gridCol w:w="72"/>
        <w:gridCol w:w="100"/>
        <w:gridCol w:w="699"/>
        <w:gridCol w:w="259"/>
        <w:gridCol w:w="72"/>
        <w:gridCol w:w="100"/>
        <w:gridCol w:w="1015"/>
      </w:tblGrid>
      <w:tr w:rsidR="0055425F">
        <w:trPr>
          <w:trHeight w:hRule="exact" w:val="285"/>
          <w:jc w:val="center"/>
        </w:trPr>
        <w:tc>
          <w:tcPr>
            <w:tcW w:w="475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sz w:val="20"/>
              </w:rPr>
              <w:t>Piedmont Office Realty Trust, Inc.</w:t>
            </w:r>
          </w:p>
        </w:tc>
        <w:tc>
          <w:tcPr>
            <w:tcW w:w="1125" w:type="dxa"/>
            <w:gridSpan w:val="3"/>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480"/>
          <w:jc w:val="center"/>
        </w:trPr>
        <w:tc>
          <w:tcPr>
            <w:tcW w:w="7095" w:type="dxa"/>
            <w:gridSpan w:val="8"/>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widowControl w:val="0"/>
              <w:spacing w:line="200" w:lineRule="auto"/>
              <w:ind w:left="180" w:hanging="180"/>
              <w:outlineLvl w:val="0"/>
            </w:pPr>
            <w:proofErr w:type="spellStart"/>
            <w:r>
              <w:rPr>
                <w:b/>
                <w:color w:val="000000"/>
                <w:sz w:val="20"/>
              </w:rPr>
              <w:t>EBITDAre</w:t>
            </w:r>
            <w:proofErr w:type="spellEnd"/>
            <w:r>
              <w:rPr>
                <w:b/>
                <w:color w:val="000000"/>
                <w:sz w:val="20"/>
              </w:rPr>
              <w:t>, Core EBITDA, Property Net Operating Income (Cash and Accrual), Same Store Net Operating Income (Cash and Accrual)</w:t>
            </w:r>
          </w:p>
        </w:tc>
        <w:tc>
          <w:tcPr>
            <w:tcW w:w="1065" w:type="dxa"/>
            <w:gridSpan w:val="3"/>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285"/>
          <w:jc w:val="center"/>
        </w:trPr>
        <w:tc>
          <w:tcPr>
            <w:tcW w:w="4755" w:type="dxa"/>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pPr>
            <w:r>
              <w:rPr>
                <w:b/>
                <w:i/>
                <w:sz w:val="20"/>
              </w:rPr>
              <w:t>Unaudited (in thousands)</w:t>
            </w:r>
          </w:p>
        </w:tc>
        <w:tc>
          <w:tcPr>
            <w:tcW w:w="1125" w:type="dxa"/>
            <w:gridSpan w:val="3"/>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75"/>
          <w:jc w:val="center"/>
        </w:trPr>
        <w:tc>
          <w:tcPr>
            <w:tcW w:w="475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3"/>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3"/>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495"/>
          <w:jc w:val="center"/>
        </w:trPr>
        <w:tc>
          <w:tcPr>
            <w:tcW w:w="475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2265" w:type="dxa"/>
            <w:gridSpan w:val="6"/>
            <w:vMerge w:val="restart"/>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jc w:val="center"/>
            </w:pPr>
            <w:r>
              <w:rPr>
                <w:b/>
                <w:sz w:val="20"/>
              </w:rPr>
              <w:t>Cash Basis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2265" w:type="dxa"/>
            <w:gridSpan w:val="6"/>
            <w:vMerge w:val="restart"/>
            <w:tcBorders>
              <w:top w:val="nil"/>
              <w:left w:val="nil"/>
              <w:bottom w:val="nil"/>
              <w:right w:val="nil"/>
            </w:tcBorders>
            <w:shd w:val="clear" w:color="auto" w:fill="auto"/>
            <w:tcMar>
              <w:top w:w="75" w:type="dxa"/>
              <w:left w:w="53" w:type="dxa"/>
              <w:bottom w:w="30" w:type="dxa"/>
              <w:right w:w="53" w:type="dxa"/>
            </w:tcMar>
            <w:vAlign w:val="bottom"/>
          </w:tcPr>
          <w:p w:rsidR="0055425F" w:rsidRDefault="00F02B34">
            <w:pPr>
              <w:spacing w:line="200" w:lineRule="auto"/>
              <w:jc w:val="center"/>
            </w:pPr>
            <w:r>
              <w:rPr>
                <w:b/>
                <w:sz w:val="20"/>
              </w:rPr>
              <w:t>Accrual Basis</w:t>
            </w:r>
          </w:p>
        </w:tc>
      </w:tr>
      <w:tr w:rsidR="0055425F">
        <w:trPr>
          <w:trHeight w:hRule="exact" w:val="495"/>
          <w:jc w:val="center"/>
        </w:trPr>
        <w:tc>
          <w:tcPr>
            <w:tcW w:w="475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2265" w:type="dxa"/>
            <w:gridSpan w:val="6"/>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Six Months Ended</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2265" w:type="dxa"/>
            <w:gridSpan w:val="6"/>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Six Months Ended</w:t>
            </w:r>
          </w:p>
        </w:tc>
      </w:tr>
      <w:tr w:rsidR="0055425F">
        <w:trPr>
          <w:trHeight w:hRule="exact" w:val="285"/>
          <w:jc w:val="center"/>
        </w:trPr>
        <w:tc>
          <w:tcPr>
            <w:tcW w:w="475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3"/>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3"/>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rsidR="0055425F" w:rsidRDefault="00F02B34">
            <w:pPr>
              <w:spacing w:line="200" w:lineRule="auto"/>
              <w:jc w:val="center"/>
            </w:pPr>
            <w:r>
              <w:rPr>
                <w:b/>
                <w:sz w:val="20"/>
              </w:rPr>
              <w:t>6/30/2018</w:t>
            </w:r>
          </w:p>
        </w:tc>
      </w:tr>
      <w:tr w:rsidR="0055425F">
        <w:trPr>
          <w:trHeight w:hRule="exact" w:val="300"/>
          <w:jc w:val="center"/>
        </w:trPr>
        <w:tc>
          <w:tcPr>
            <w:tcW w:w="475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3"/>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065" w:type="dxa"/>
            <w:gridSpan w:val="3"/>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auto"/>
            <w:tcMar>
              <w:top w:w="0" w:type="dxa"/>
              <w:left w:w="0" w:type="dxa"/>
              <w:bottom w:w="0" w:type="dxa"/>
              <w:right w:w="0" w:type="dxa"/>
            </w:tcMar>
            <w:vAlign w:val="bottom"/>
          </w:tcPr>
          <w:p w:rsidR="0055425F" w:rsidRDefault="0055425F"/>
        </w:tc>
        <w:tc>
          <w:tcPr>
            <w:tcW w:w="112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55425F" w:rsidRDefault="0055425F"/>
        </w:tc>
      </w:tr>
      <w:tr w:rsidR="0055425F">
        <w:trPr>
          <w:trHeight w:hRule="exact" w:val="285"/>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GAAP net income applicable to common stock</w:t>
            </w:r>
          </w:p>
        </w:tc>
        <w:tc>
          <w:tcPr>
            <w:tcW w:w="100"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w:t>
            </w:r>
          </w:p>
        </w:tc>
        <w:tc>
          <w:tcPr>
            <w:tcW w:w="1025" w:type="dxa"/>
            <w:gridSpan w:val="2"/>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58,361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965"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68,772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9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58,361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025" w:type="dxa"/>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68,772</w:t>
            </w:r>
          </w:p>
        </w:tc>
      </w:tr>
      <w:tr w:rsidR="0055425F">
        <w:trPr>
          <w:trHeight w:hRule="exact" w:val="300"/>
          <w:jc w:val="center"/>
        </w:trPr>
        <w:tc>
          <w:tcPr>
            <w:tcW w:w="475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sz w:val="20"/>
              </w:rPr>
              <w:t xml:space="preserve">Net loss applicable to </w:t>
            </w:r>
            <w:proofErr w:type="spellStart"/>
            <w:r>
              <w:rPr>
                <w:sz w:val="20"/>
              </w:rPr>
              <w:t>noncontrolling</w:t>
            </w:r>
            <w:proofErr w:type="spellEnd"/>
            <w:r>
              <w:rPr>
                <w:sz w:val="20"/>
              </w:rPr>
              <w:t xml:space="preserve"> interest</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(4)</w:t>
            </w:r>
          </w:p>
        </w:tc>
      </w:tr>
      <w:tr w:rsidR="0055425F">
        <w:trPr>
          <w:trHeight w:hRule="exact" w:val="300"/>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Interest expense</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30,605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29,445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30,605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29,445</w:t>
            </w:r>
          </w:p>
        </w:tc>
      </w:tr>
      <w:tr w:rsidR="0055425F">
        <w:trPr>
          <w:trHeight w:hRule="exact" w:val="300"/>
          <w:jc w:val="center"/>
        </w:trPr>
        <w:tc>
          <w:tcPr>
            <w:tcW w:w="475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 xml:space="preserve">Depreciation </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52,858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54,246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52,858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54,246</w:t>
            </w:r>
          </w:p>
        </w:tc>
      </w:tr>
      <w:tr w:rsidR="0055425F">
        <w:trPr>
          <w:trHeight w:hRule="exact" w:val="300"/>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 xml:space="preserve">Amortization </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36,131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31,945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36,131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31,945</w:t>
            </w:r>
          </w:p>
        </w:tc>
      </w:tr>
      <w:tr w:rsidR="0055425F">
        <w:trPr>
          <w:trHeight w:hRule="exact" w:val="300"/>
          <w:jc w:val="center"/>
        </w:trPr>
        <w:tc>
          <w:tcPr>
            <w:tcW w:w="475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sz w:val="20"/>
              </w:rPr>
              <w:t>(Gain)/loss on sale of real estate assets</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(39,338)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(45,186)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(39,338)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(45,186)</w:t>
            </w:r>
          </w:p>
        </w:tc>
      </w:tr>
      <w:tr w:rsidR="0055425F">
        <w:trPr>
          <w:trHeight w:hRule="exact" w:val="300"/>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180" w:hanging="180"/>
            </w:pPr>
            <w:proofErr w:type="spellStart"/>
            <w:r>
              <w:rPr>
                <w:b/>
                <w:color w:val="000000"/>
                <w:sz w:val="20"/>
              </w:rPr>
              <w:t>EBITDAre</w:t>
            </w:r>
            <w:proofErr w:type="spellEnd"/>
          </w:p>
        </w:tc>
        <w:tc>
          <w:tcPr>
            <w:tcW w:w="1125" w:type="dxa"/>
            <w:gridSpan w:val="3"/>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138,617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139,218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3"/>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138,617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139,218</w:t>
            </w:r>
          </w:p>
        </w:tc>
      </w:tr>
      <w:tr w:rsidR="0055425F">
        <w:trPr>
          <w:trHeight w:hRule="exact" w:val="300"/>
          <w:jc w:val="center"/>
        </w:trPr>
        <w:tc>
          <w:tcPr>
            <w:tcW w:w="475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Loss on extinguishment of debt</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1,680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1,680</w:t>
            </w:r>
          </w:p>
        </w:tc>
      </w:tr>
      <w:tr w:rsidR="0055425F">
        <w:trPr>
          <w:trHeight w:hRule="exact" w:val="525"/>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540" w:hanging="180"/>
            </w:pPr>
            <w:r>
              <w:rPr>
                <w:sz w:val="20"/>
              </w:rPr>
              <w:t>Retirement and separation expenses associated with senior management transition</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3,175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3,175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w:t>
            </w:r>
          </w:p>
        </w:tc>
      </w:tr>
      <w:tr w:rsidR="0055425F">
        <w:trPr>
          <w:trHeight w:hRule="exact" w:val="285"/>
          <w:jc w:val="center"/>
        </w:trPr>
        <w:tc>
          <w:tcPr>
            <w:tcW w:w="475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20"/>
              </w:rPr>
              <w:t>Core EBITDA*</w:t>
            </w:r>
          </w:p>
        </w:tc>
        <w:tc>
          <w:tcPr>
            <w:tcW w:w="1125" w:type="dxa"/>
            <w:gridSpan w:val="3"/>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b/>
                <w:sz w:val="20"/>
              </w:rPr>
              <w:t>141,792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140,898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3"/>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141,792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2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140,898</w:t>
            </w:r>
          </w:p>
        </w:tc>
      </w:tr>
      <w:tr w:rsidR="0055425F">
        <w:trPr>
          <w:trHeight w:hRule="exact" w:val="300"/>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General &amp; administrative expenses</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18,611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14,810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18,611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14,810</w:t>
            </w:r>
          </w:p>
        </w:tc>
      </w:tr>
      <w:tr w:rsidR="0055425F">
        <w:trPr>
          <w:trHeight w:hRule="exact" w:val="300"/>
          <w:jc w:val="center"/>
        </w:trPr>
        <w:tc>
          <w:tcPr>
            <w:tcW w:w="475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Management fee revenue</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(2,023)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(349)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(2,023)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(349)</w:t>
            </w:r>
          </w:p>
        </w:tc>
      </w:tr>
      <w:tr w:rsidR="0055425F">
        <w:trPr>
          <w:trHeight w:hRule="exact" w:val="300"/>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Other income</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(118)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(388)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(118)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(388)</w:t>
            </w:r>
          </w:p>
        </w:tc>
      </w:tr>
      <w:tr w:rsidR="0055425F">
        <w:trPr>
          <w:trHeight w:hRule="exact" w:val="300"/>
          <w:jc w:val="center"/>
        </w:trPr>
        <w:tc>
          <w:tcPr>
            <w:tcW w:w="475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 xml:space="preserve">Straight line effects of lease revenue </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(5,906)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(8,279)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r>
      <w:tr w:rsidR="0055425F">
        <w:trPr>
          <w:trHeight w:hRule="exact" w:val="300"/>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630" w:hanging="270"/>
            </w:pPr>
            <w:r>
              <w:rPr>
                <w:color w:val="000000"/>
                <w:sz w:val="20"/>
              </w:rPr>
              <w:t>Amortization of lease-related intangibles</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(4,086)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(3,630)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r>
      <w:tr w:rsidR="0055425F">
        <w:trPr>
          <w:trHeight w:hRule="exact" w:val="285"/>
          <w:jc w:val="center"/>
        </w:trPr>
        <w:tc>
          <w:tcPr>
            <w:tcW w:w="475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pPr>
            <w:r>
              <w:rPr>
                <w:b/>
                <w:sz w:val="20"/>
              </w:rPr>
              <w:t>Property NOI*</w:t>
            </w:r>
          </w:p>
        </w:tc>
        <w:tc>
          <w:tcPr>
            <w:tcW w:w="1125" w:type="dxa"/>
            <w:gridSpan w:val="3"/>
            <w:tcBorders>
              <w:top w:val="single" w:sz="8" w:space="0" w:color="000000"/>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b/>
                <w:sz w:val="20"/>
              </w:rPr>
              <w:t>148,270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143,062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3"/>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158,262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2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b/>
                <w:sz w:val="20"/>
              </w:rPr>
              <w:t>154,971</w:t>
            </w:r>
          </w:p>
        </w:tc>
      </w:tr>
      <w:tr w:rsidR="0055425F">
        <w:trPr>
          <w:trHeight w:hRule="exact" w:val="300"/>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sz w:val="20"/>
              </w:rPr>
              <w:t xml:space="preserve">   Net operating income from:</w:t>
            </w: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r>
      <w:tr w:rsidR="0055425F">
        <w:trPr>
          <w:trHeight w:hRule="exact" w:val="300"/>
          <w:jc w:val="center"/>
        </w:trPr>
        <w:tc>
          <w:tcPr>
            <w:tcW w:w="475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Acquisitions</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(7,064)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(607)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(8,098)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(959)</w:t>
            </w:r>
          </w:p>
        </w:tc>
      </w:tr>
      <w:tr w:rsidR="0055425F">
        <w:trPr>
          <w:trHeight w:hRule="exact" w:val="300"/>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widowControl w:val="0"/>
              <w:spacing w:line="200" w:lineRule="auto"/>
              <w:ind w:left="360"/>
            </w:pPr>
            <w:r>
              <w:rPr>
                <w:color w:val="000000"/>
                <w:sz w:val="20"/>
              </w:rPr>
              <w:t>Dispositions</w:t>
            </w:r>
          </w:p>
        </w:tc>
        <w:tc>
          <w:tcPr>
            <w:tcW w:w="1125" w:type="dxa"/>
            <w:gridSpan w:val="3"/>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sz w:val="20"/>
              </w:rPr>
              <w:t>(3,747)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(10,173)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(2,510)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sz w:val="20"/>
              </w:rPr>
              <w:t>(9,086)</w:t>
            </w:r>
          </w:p>
        </w:tc>
      </w:tr>
      <w:tr w:rsidR="0055425F">
        <w:trPr>
          <w:trHeight w:hRule="exact" w:val="300"/>
          <w:jc w:val="center"/>
        </w:trPr>
        <w:tc>
          <w:tcPr>
            <w:tcW w:w="4755" w:type="dxa"/>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ind w:left="360"/>
            </w:pPr>
            <w:r>
              <w:rPr>
                <w:sz w:val="20"/>
              </w:rPr>
              <w:t>Other investments</w:t>
            </w:r>
            <w:r>
              <w:rPr>
                <w:sz w:val="20"/>
                <w:vertAlign w:val="superscript"/>
              </w:rPr>
              <w:t>(1)</w:t>
            </w:r>
          </w:p>
        </w:tc>
        <w:tc>
          <w:tcPr>
            <w:tcW w:w="1125" w:type="dxa"/>
            <w:gridSpan w:val="3"/>
            <w:tcBorders>
              <w:top w:val="nil"/>
              <w:left w:val="nil"/>
              <w:bottom w:val="nil"/>
              <w:right w:val="nil"/>
            </w:tcBorders>
            <w:shd w:val="clear" w:color="auto" w:fill="FFFFFF"/>
            <w:tcMar>
              <w:top w:w="75" w:type="dxa"/>
              <w:left w:w="53" w:type="dxa"/>
              <w:bottom w:w="30" w:type="dxa"/>
              <w:right w:w="53" w:type="dxa"/>
            </w:tcMar>
            <w:vAlign w:val="bottom"/>
          </w:tcPr>
          <w:p w:rsidR="0055425F" w:rsidRDefault="00F02B34">
            <w:pPr>
              <w:spacing w:line="200" w:lineRule="auto"/>
              <w:jc w:val="right"/>
            </w:pPr>
            <w:r>
              <w:rPr>
                <w:sz w:val="20"/>
              </w:rPr>
              <w:t>(285)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(1,325)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(270)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55425F" w:rsidRDefault="0055425F"/>
        </w:tc>
        <w:tc>
          <w:tcPr>
            <w:tcW w:w="1125" w:type="dxa"/>
            <w:gridSpan w:val="2"/>
            <w:tcBorders>
              <w:top w:val="nil"/>
              <w:left w:val="nil"/>
              <w:bottom w:val="nil"/>
              <w:right w:val="nil"/>
            </w:tcBorders>
            <w:shd w:val="clear" w:color="auto" w:fill="FFFFFF"/>
            <w:tcMar>
              <w:top w:w="0" w:type="dxa"/>
              <w:left w:w="0" w:type="dxa"/>
              <w:bottom w:w="0" w:type="dxa"/>
              <w:right w:w="0" w:type="dxa"/>
            </w:tcMar>
            <w:vAlign w:val="bottom"/>
          </w:tcPr>
          <w:p w:rsidR="0055425F" w:rsidRDefault="00F02B34">
            <w:pPr>
              <w:spacing w:line="200" w:lineRule="auto"/>
              <w:jc w:val="right"/>
            </w:pPr>
            <w:r>
              <w:rPr>
                <w:sz w:val="20"/>
              </w:rPr>
              <w:t>(1,152)</w:t>
            </w:r>
          </w:p>
        </w:tc>
      </w:tr>
      <w:tr w:rsidR="0055425F">
        <w:trPr>
          <w:trHeight w:hRule="exact" w:val="285"/>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Same Store NOI *</w:t>
            </w:r>
          </w:p>
        </w:tc>
        <w:tc>
          <w:tcPr>
            <w:tcW w:w="100" w:type="dxa"/>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b/>
                <w:sz w:val="20"/>
              </w:rPr>
              <w:t>$</w:t>
            </w:r>
          </w:p>
        </w:tc>
        <w:tc>
          <w:tcPr>
            <w:tcW w:w="1025" w:type="dxa"/>
            <w:gridSpan w:val="2"/>
            <w:tcBorders>
              <w:top w:val="sing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b/>
                <w:sz w:val="20"/>
              </w:rPr>
              <w:t>137,174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9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130,957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96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147,384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pPr>
            <w:r>
              <w:rPr>
                <w:b/>
                <w:sz w:val="20"/>
              </w:rPr>
              <w:t>$</w:t>
            </w:r>
          </w:p>
        </w:tc>
        <w:tc>
          <w:tcPr>
            <w:tcW w:w="10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b/>
                <w:sz w:val="20"/>
              </w:rPr>
              <w:t>143,774</w:t>
            </w:r>
          </w:p>
        </w:tc>
      </w:tr>
      <w:tr w:rsidR="0055425F">
        <w:trPr>
          <w:trHeight w:hRule="exact" w:val="300"/>
          <w:jc w:val="center"/>
        </w:trPr>
        <w:tc>
          <w:tcPr>
            <w:tcW w:w="4755" w:type="dxa"/>
            <w:tcBorders>
              <w:top w:val="nil"/>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pPr>
            <w:r>
              <w:rPr>
                <w:i/>
                <w:sz w:val="20"/>
              </w:rPr>
              <w:t>Change period over period in Same Store NOI</w:t>
            </w:r>
          </w:p>
        </w:tc>
        <w:tc>
          <w:tcPr>
            <w:tcW w:w="865" w:type="dxa"/>
            <w:gridSpan w:val="2"/>
            <w:tcBorders>
              <w:top w:val="double" w:sz="8" w:space="0" w:color="000000"/>
              <w:left w:val="nil"/>
              <w:bottom w:val="nil"/>
              <w:right w:val="nil"/>
            </w:tcBorders>
            <w:shd w:val="clear" w:color="auto" w:fill="CCEEFF"/>
            <w:tcMar>
              <w:top w:w="75" w:type="dxa"/>
              <w:left w:w="53" w:type="dxa"/>
              <w:bottom w:w="30" w:type="dxa"/>
              <w:right w:w="53" w:type="dxa"/>
            </w:tcMar>
            <w:vAlign w:val="bottom"/>
          </w:tcPr>
          <w:p w:rsidR="0055425F" w:rsidRDefault="00F02B34">
            <w:pPr>
              <w:spacing w:line="200" w:lineRule="auto"/>
              <w:jc w:val="right"/>
            </w:pPr>
            <w:r>
              <w:rPr>
                <w:i/>
                <w:sz w:val="20"/>
              </w:rPr>
              <w:t>4.7</w:t>
            </w:r>
          </w:p>
        </w:tc>
        <w:tc>
          <w:tcPr>
            <w:tcW w:w="260" w:type="dxa"/>
            <w:tcBorders>
              <w:top w:val="double" w:sz="8" w:space="0" w:color="000000"/>
              <w:left w:val="nil"/>
              <w:bottom w:val="nil"/>
              <w:right w:val="nil"/>
            </w:tcBorders>
            <w:shd w:val="clear" w:color="auto" w:fill="CCEEFF"/>
            <w:tcMar>
              <w:top w:w="55" w:type="dxa"/>
              <w:left w:w="53" w:type="dxa"/>
              <w:bottom w:w="30" w:type="dxa"/>
              <w:right w:w="15" w:type="dxa"/>
            </w:tcMar>
            <w:vAlign w:val="bottom"/>
          </w:tcPr>
          <w:p w:rsidR="0055425F" w:rsidRDefault="00F02B34">
            <w:pPr>
              <w:spacing w:line="200" w:lineRule="auto"/>
              <w:jc w:val="right"/>
            </w:pPr>
            <w:r>
              <w:rPr>
                <w:i/>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065" w:type="dxa"/>
            <w:gridSpan w:val="2"/>
            <w:tcBorders>
              <w:top w:val="double" w:sz="8" w:space="0" w:color="000000"/>
              <w:left w:val="nil"/>
              <w:bottom w:val="nil"/>
              <w:right w:val="nil"/>
            </w:tcBorders>
            <w:shd w:val="clear" w:color="auto" w:fill="CCEEFF"/>
            <w:tcMar>
              <w:top w:w="55" w:type="dxa"/>
              <w:left w:w="53" w:type="dxa"/>
              <w:bottom w:w="30" w:type="dxa"/>
              <w:right w:w="53" w:type="dxa"/>
            </w:tcMar>
            <w:vAlign w:val="bottom"/>
          </w:tcPr>
          <w:p w:rsidR="0055425F" w:rsidRDefault="00F02B34">
            <w:pPr>
              <w:spacing w:line="200" w:lineRule="auto"/>
              <w:jc w:val="right"/>
            </w:pPr>
            <w:r>
              <w:rPr>
                <w:i/>
                <w:sz w:val="20"/>
              </w:rPr>
              <w:t>N/A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80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55425F" w:rsidRDefault="00F02B34">
            <w:pPr>
              <w:spacing w:line="200" w:lineRule="auto"/>
              <w:jc w:val="right"/>
            </w:pPr>
            <w:r>
              <w:rPr>
                <w:i/>
                <w:sz w:val="20"/>
              </w:rPr>
              <w:t>2.5</w:t>
            </w:r>
          </w:p>
        </w:tc>
        <w:tc>
          <w:tcPr>
            <w:tcW w:w="260" w:type="dxa"/>
            <w:tcBorders>
              <w:top w:val="double" w:sz="8" w:space="0" w:color="000000"/>
              <w:left w:val="nil"/>
              <w:bottom w:val="nil"/>
              <w:right w:val="nil"/>
            </w:tcBorders>
            <w:shd w:val="clear" w:color="auto" w:fill="CCEEFF"/>
            <w:tcMar>
              <w:top w:w="55" w:type="dxa"/>
              <w:left w:w="53" w:type="dxa"/>
              <w:bottom w:w="30" w:type="dxa"/>
              <w:right w:w="15" w:type="dxa"/>
            </w:tcMar>
            <w:vAlign w:val="bottom"/>
          </w:tcPr>
          <w:p w:rsidR="0055425F" w:rsidRDefault="00F02B34">
            <w:pPr>
              <w:spacing w:line="200" w:lineRule="auto"/>
              <w:jc w:val="right"/>
            </w:pPr>
            <w:r>
              <w:rPr>
                <w:i/>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55425F" w:rsidRDefault="0055425F"/>
        </w:tc>
        <w:tc>
          <w:tcPr>
            <w:tcW w:w="1125" w:type="dxa"/>
            <w:gridSpan w:val="2"/>
            <w:tcBorders>
              <w:top w:val="double" w:sz="8" w:space="0" w:color="000000"/>
              <w:left w:val="nil"/>
              <w:bottom w:val="nil"/>
              <w:right w:val="nil"/>
            </w:tcBorders>
            <w:shd w:val="clear" w:color="auto" w:fill="CCEEFF"/>
            <w:tcMar>
              <w:top w:w="55" w:type="dxa"/>
              <w:left w:w="53" w:type="dxa"/>
              <w:bottom w:w="30" w:type="dxa"/>
              <w:right w:w="53" w:type="dxa"/>
            </w:tcMar>
            <w:vAlign w:val="bottom"/>
          </w:tcPr>
          <w:p w:rsidR="0055425F" w:rsidRDefault="00F02B34">
            <w:pPr>
              <w:spacing w:line="200" w:lineRule="auto"/>
              <w:jc w:val="right"/>
            </w:pPr>
            <w:r>
              <w:rPr>
                <w:i/>
                <w:sz w:val="20"/>
              </w:rPr>
              <w:t>N/A</w:t>
            </w:r>
          </w:p>
        </w:tc>
      </w:tr>
    </w:tbl>
    <w:p w:rsidR="0055425F" w:rsidRDefault="0055425F">
      <w:pPr>
        <w:spacing w:before="120"/>
        <w:ind w:firstLine="720"/>
        <w:jc w:val="center"/>
      </w:pPr>
    </w:p>
    <w:p w:rsidR="0055425F" w:rsidRDefault="00F02B34">
      <w:pPr>
        <w:spacing w:after="60"/>
      </w:pPr>
      <w:r>
        <w:rPr>
          <w:i/>
          <w:color w:val="000000"/>
          <w:sz w:val="20"/>
          <w:vertAlign w:val="superscript"/>
        </w:rPr>
        <w:t>(1)</w:t>
      </w:r>
      <w:r>
        <w:rPr>
          <w:i/>
          <w:color w:val="000000"/>
          <w:sz w:val="20"/>
        </w:rPr>
        <w:t xml:space="preserve">Other investments consist of our investments in active redevelopment and development projects, land, and recently completed redevelopment and development projects for which some portion of operating expenses were capitalized during the current or prior reporting periods. The operating results from Two Pierce Place in Itasca, IL are included in this line item. </w:t>
      </w:r>
    </w:p>
    <w:p w:rsidR="0055425F" w:rsidRDefault="0055425F"/>
    <w:p w:rsidR="0055425F" w:rsidRDefault="00F02B34">
      <w:pPr>
        <w:keepNext/>
      </w:pPr>
      <w:r>
        <w:rPr>
          <w:rFonts w:ascii="Arial" w:eastAsia="Arial" w:hAnsi="Arial" w:cs="Arial"/>
          <w:b/>
          <w:color w:val="000000"/>
          <w:sz w:val="16"/>
        </w:rPr>
        <w:t>*Definitions:</w:t>
      </w:r>
    </w:p>
    <w:p w:rsidR="0055425F" w:rsidRDefault="0055425F">
      <w:pPr>
        <w:keepNext/>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55425F">
        <w:trPr>
          <w:trHeight w:hRule="exact" w:val="2025"/>
        </w:trPr>
        <w:tc>
          <w:tcPr>
            <w:tcW w:w="9795" w:type="dxa"/>
            <w:tcBorders>
              <w:top w:val="nil"/>
              <w:left w:val="nil"/>
              <w:bottom w:val="nil"/>
              <w:right w:val="nil"/>
            </w:tcBorders>
            <w:shd w:val="clear" w:color="auto" w:fill="auto"/>
            <w:tcMar>
              <w:top w:w="75" w:type="dxa"/>
              <w:left w:w="53" w:type="dxa"/>
              <w:bottom w:w="30" w:type="dxa"/>
              <w:right w:w="53" w:type="dxa"/>
            </w:tcMar>
          </w:tcPr>
          <w:p w:rsidR="0055425F" w:rsidRDefault="00F02B34">
            <w:pPr>
              <w:spacing w:line="200" w:lineRule="auto"/>
            </w:pPr>
            <w:proofErr w:type="spellStart"/>
            <w:r>
              <w:rPr>
                <w:sz w:val="16"/>
              </w:rPr>
              <w:t>EBITDAre</w:t>
            </w:r>
            <w:proofErr w:type="spellEnd"/>
            <w:r>
              <w:rPr>
                <w:sz w:val="16"/>
              </w:rPr>
              <w:t xml:space="preserve">: The Company calculates </w:t>
            </w:r>
            <w:proofErr w:type="spellStart"/>
            <w:r>
              <w:rPr>
                <w:sz w:val="16"/>
              </w:rPr>
              <w:t>EBITDAre</w:t>
            </w:r>
            <w:proofErr w:type="spellEnd"/>
            <w:r>
              <w:rPr>
                <w:sz w:val="16"/>
              </w:rPr>
              <w:t xml:space="preserve"> in accordance with the current National Association of Real Estate Investment Trusts (“NAREIT”) definition. NAREIT currently defines </w:t>
            </w:r>
            <w:proofErr w:type="spellStart"/>
            <w:r>
              <w:rPr>
                <w:sz w:val="16"/>
              </w:rPr>
              <w:t>EBITDAre</w:t>
            </w:r>
            <w:proofErr w:type="spellEnd"/>
            <w:r>
              <w:rPr>
                <w:sz w:val="16"/>
              </w:rPr>
              <w:t xml:space="preserve"> as net income (computed in accordance with GAAP) adjusted for gains or losses from sales of property, impairment losses, depreciation on real estate assets, amortization on real estate assets, interest expense and taxes, along with the same adjustments for unconsolidated partnerships and joint ventures.  Some of the adjustments mentioned can vary among owners of identical assets in similar conditions based on historical cost accounting and useful-life estimates.  </w:t>
            </w:r>
            <w:proofErr w:type="spellStart"/>
            <w:r>
              <w:rPr>
                <w:sz w:val="16"/>
              </w:rPr>
              <w:t>EBITDAre</w:t>
            </w:r>
            <w:proofErr w:type="spellEnd"/>
            <w:r>
              <w:rPr>
                <w:sz w:val="16"/>
              </w:rPr>
              <w:t xml:space="preserve"> is a non-GAAP financial measure and should not be viewed as an alternative to net income calculated in accordance with GAAP as a measurement of the Company’s operating performance.  The Company believes that </w:t>
            </w:r>
            <w:proofErr w:type="spellStart"/>
            <w:r>
              <w:rPr>
                <w:sz w:val="16"/>
              </w:rPr>
              <w:t>EBITDAre</w:t>
            </w:r>
            <w:proofErr w:type="spellEnd"/>
            <w:r>
              <w:rPr>
                <w:sz w:val="16"/>
              </w:rPr>
              <w:t xml:space="preserve"> is helpful to investors as a supplemental performance measure because it provides a metric for understanding the Company’s results from ongoing operations without taking into account the effects of non-cash expenses (such as depreciation and amortization) and capitalization and capital structure expenses (such as interest expense and taxes).  The Company also believes that </w:t>
            </w:r>
            <w:proofErr w:type="spellStart"/>
            <w:r>
              <w:rPr>
                <w:sz w:val="16"/>
              </w:rPr>
              <w:t>EBITDAre</w:t>
            </w:r>
            <w:proofErr w:type="spellEnd"/>
            <w:r>
              <w:rPr>
                <w:sz w:val="16"/>
              </w:rPr>
              <w:t xml:space="preserve"> can help facilitate comparisons of operating performance between periods and with other REITs. However, other REITs may not define </w:t>
            </w:r>
            <w:proofErr w:type="spellStart"/>
            <w:r>
              <w:rPr>
                <w:sz w:val="16"/>
              </w:rPr>
              <w:t>EBITDAre</w:t>
            </w:r>
            <w:proofErr w:type="spellEnd"/>
            <w:r>
              <w:rPr>
                <w:sz w:val="16"/>
              </w:rPr>
              <w:t xml:space="preserve"> in accordance with the NAREIT definition, or may interpret the current NAREIT definition differently than the Company; therefore, the Company’s computation of </w:t>
            </w:r>
            <w:proofErr w:type="spellStart"/>
            <w:r>
              <w:rPr>
                <w:sz w:val="16"/>
              </w:rPr>
              <w:t>EBITDAre</w:t>
            </w:r>
            <w:proofErr w:type="spellEnd"/>
            <w:r>
              <w:rPr>
                <w:sz w:val="16"/>
              </w:rPr>
              <w:t xml:space="preserve"> may not be comparable to that of such other REITs.</w:t>
            </w:r>
          </w:p>
        </w:tc>
      </w:tr>
      <w:tr w:rsidR="0055425F">
        <w:trPr>
          <w:trHeight w:hRule="exact" w:val="240"/>
        </w:trPr>
        <w:tc>
          <w:tcPr>
            <w:tcW w:w="9795" w:type="dxa"/>
            <w:tcBorders>
              <w:top w:val="nil"/>
              <w:left w:val="nil"/>
              <w:bottom w:val="nil"/>
              <w:right w:val="nil"/>
            </w:tcBorders>
            <w:shd w:val="clear" w:color="auto" w:fill="auto"/>
            <w:tcMar>
              <w:top w:w="0" w:type="dxa"/>
              <w:left w:w="0" w:type="dxa"/>
              <w:bottom w:w="0" w:type="dxa"/>
              <w:right w:w="0" w:type="dxa"/>
            </w:tcMar>
          </w:tcPr>
          <w:p w:rsidR="0055425F" w:rsidRDefault="0055425F"/>
        </w:tc>
      </w:tr>
      <w:tr w:rsidR="0055425F">
        <w:trPr>
          <w:trHeight w:hRule="exact" w:val="1545"/>
        </w:trPr>
        <w:tc>
          <w:tcPr>
            <w:tcW w:w="9795" w:type="dxa"/>
            <w:tcBorders>
              <w:top w:val="nil"/>
              <w:left w:val="nil"/>
              <w:bottom w:val="nil"/>
              <w:right w:val="nil"/>
            </w:tcBorders>
            <w:shd w:val="clear" w:color="auto" w:fill="auto"/>
            <w:tcMar>
              <w:top w:w="75" w:type="dxa"/>
              <w:left w:w="53" w:type="dxa"/>
              <w:bottom w:w="30" w:type="dxa"/>
              <w:right w:w="53" w:type="dxa"/>
            </w:tcMar>
          </w:tcPr>
          <w:p w:rsidR="0055425F" w:rsidRDefault="00F02B34">
            <w:pPr>
              <w:spacing w:line="200" w:lineRule="auto"/>
            </w:pPr>
            <w:r>
              <w:rPr>
                <w:sz w:val="16"/>
              </w:rPr>
              <w:lastRenderedPageBreak/>
              <w:t>Core EBITDA: The Company calculates Core EBITDA as net income (computed in accordance with GAAP) before interest, taxes, depreciation and amortization and incrementally removing any impairment losses, gains or losses from sales of property and other significant infrequent items that create volatility within our earnings and make it difficult to determine the earnings generated by our core ongoing business.  Core EBITDA is a non-GAAP financial measure and should not be viewed as an alternative to net income calculated in accordance with GAAP as a measurement of the Company’s operating performance.  The Company believes that Core EBITDA is helpful to investors as a supplemental performance measure because it provides a metric for understanding the performance of the Company’s results from ongoing operations without taking into account the effects of non-cash expenses (such as depreciation and amortization), as well as items that are not part of normal day-to-day operations of the Company’s business.  Other REITs may not define Core EBITDA in the same manner as the Company; therefore, the Company’s computation of Core EBITDA may not be comparable to that of other REITs.</w:t>
            </w:r>
          </w:p>
        </w:tc>
      </w:tr>
      <w:tr w:rsidR="0055425F">
        <w:trPr>
          <w:trHeight w:hRule="exact" w:val="225"/>
        </w:trPr>
        <w:tc>
          <w:tcPr>
            <w:tcW w:w="9795" w:type="dxa"/>
            <w:tcBorders>
              <w:top w:val="nil"/>
              <w:left w:val="nil"/>
              <w:bottom w:val="nil"/>
              <w:right w:val="nil"/>
            </w:tcBorders>
            <w:shd w:val="clear" w:color="auto" w:fill="auto"/>
            <w:tcMar>
              <w:top w:w="0" w:type="dxa"/>
              <w:left w:w="0" w:type="dxa"/>
              <w:bottom w:w="0" w:type="dxa"/>
              <w:right w:w="0" w:type="dxa"/>
            </w:tcMar>
          </w:tcPr>
          <w:p w:rsidR="0055425F" w:rsidRDefault="0055425F"/>
        </w:tc>
      </w:tr>
      <w:tr w:rsidR="0055425F">
        <w:trPr>
          <w:trHeight w:hRule="exact" w:val="1545"/>
        </w:trPr>
        <w:tc>
          <w:tcPr>
            <w:tcW w:w="9795" w:type="dxa"/>
            <w:tcBorders>
              <w:top w:val="nil"/>
              <w:left w:val="nil"/>
              <w:bottom w:val="nil"/>
              <w:right w:val="nil"/>
            </w:tcBorders>
            <w:shd w:val="clear" w:color="auto" w:fill="auto"/>
            <w:tcMar>
              <w:top w:w="75" w:type="dxa"/>
              <w:left w:w="53" w:type="dxa"/>
              <w:bottom w:w="30" w:type="dxa"/>
              <w:right w:w="53" w:type="dxa"/>
            </w:tcMar>
          </w:tcPr>
          <w:p w:rsidR="0055425F" w:rsidRDefault="00F02B34">
            <w:pPr>
              <w:spacing w:line="200" w:lineRule="auto"/>
            </w:pPr>
            <w:r>
              <w:rPr>
                <w:sz w:val="16"/>
              </w:rPr>
              <w:t>Property Net Operating Income ("Property NOI"):  The Company calculates Property NOI by starting with Core EBITDA and adjusting for general and administrative expense, income associated with property management performed by Piedmont for other organizations and other income or expense items for the Company, such as interest income from loan investments or costs from the pursuit of non-consummated transactions.  The Company may present this measure on an accrual basis or a cash basis. When presented on a cash basis, the effects of straight lined rents and fair value lease revenue are also eliminated.  Property NOI is a non-GAAP financial measure and should not be viewed as an alternative to net income calculated in accordance with GAAP as a measurement of the Company’s operating performance.  The Company believes that Property NOI is helpful to investors as a supplemental comparative performance measure of income generated by its properties alone without the administrative overhead of the Company.  Other REITs may not define Property NOI in the same manner as the Company; therefore, the Company’s computation of Property NOI may not be comparable to that of other REITs.</w:t>
            </w:r>
          </w:p>
        </w:tc>
      </w:tr>
      <w:tr w:rsidR="0055425F">
        <w:trPr>
          <w:trHeight w:hRule="exact" w:val="240"/>
        </w:trPr>
        <w:tc>
          <w:tcPr>
            <w:tcW w:w="9795" w:type="dxa"/>
            <w:tcBorders>
              <w:top w:val="nil"/>
              <w:left w:val="nil"/>
              <w:bottom w:val="nil"/>
              <w:right w:val="nil"/>
            </w:tcBorders>
            <w:shd w:val="clear" w:color="auto" w:fill="auto"/>
            <w:tcMar>
              <w:top w:w="0" w:type="dxa"/>
              <w:left w:w="0" w:type="dxa"/>
              <w:bottom w:w="0" w:type="dxa"/>
              <w:right w:w="0" w:type="dxa"/>
            </w:tcMar>
          </w:tcPr>
          <w:p w:rsidR="0055425F" w:rsidRDefault="0055425F"/>
        </w:tc>
      </w:tr>
      <w:tr w:rsidR="0055425F">
        <w:trPr>
          <w:trHeight w:hRule="exact" w:val="1545"/>
        </w:trPr>
        <w:tc>
          <w:tcPr>
            <w:tcW w:w="9795" w:type="dxa"/>
            <w:tcBorders>
              <w:top w:val="nil"/>
              <w:left w:val="nil"/>
              <w:bottom w:val="nil"/>
              <w:right w:val="nil"/>
            </w:tcBorders>
            <w:shd w:val="clear" w:color="auto" w:fill="auto"/>
            <w:tcMar>
              <w:top w:w="75" w:type="dxa"/>
              <w:left w:w="53" w:type="dxa"/>
              <w:bottom w:w="30" w:type="dxa"/>
              <w:right w:w="53" w:type="dxa"/>
            </w:tcMar>
          </w:tcPr>
          <w:p w:rsidR="0055425F" w:rsidRDefault="00F02B34">
            <w:pPr>
              <w:spacing w:line="200" w:lineRule="auto"/>
            </w:pPr>
            <w:r>
              <w:rPr>
                <w:sz w:val="16"/>
              </w:rPr>
              <w:t>Same Store Net Operating Income ("Same Store NOI"): The Company calculates Same Store NOI as Property NOI attributable to the properties for which the following criteria were met during the entire span of the current and prior year reporting periods: (</w:t>
            </w:r>
            <w:proofErr w:type="spellStart"/>
            <w:r>
              <w:rPr>
                <w:sz w:val="16"/>
              </w:rPr>
              <w:t>i</w:t>
            </w:r>
            <w:proofErr w:type="spellEnd"/>
            <w:r>
              <w:rPr>
                <w:sz w:val="16"/>
              </w:rPr>
              <w:t>) they were owned, (ii) they were not under development / redevelopment, and (iii) none of the operating expenses for which were capitalized.  Same Store NOI also excludes amounts attributable to unconsolidated joint venture and land assets. The Company may present this measure on an accrual basis or a cash basis. When presented on a cash basis, the effects of straight lined rents and fair value lease revenue are also eliminated.  Same Store NOI is a non-GAAP financial measure and should not be viewed as an alternative to net income calculated in accordance with GAAP as a measurement of the Company’s operating performance.  The Company believes that Same Store NOI is helpful to investors as a supplemental comparative performance measure of the income generated from the same group of properties from one period to the next.  Other REITs may not define Same Store NOI in the same manner as the Company; therefore, the Company’s computation of Same Store NOI may not be comparable to that of other REITs.</w:t>
            </w:r>
          </w:p>
        </w:tc>
      </w:tr>
    </w:tbl>
    <w:p w:rsidR="0055425F" w:rsidRDefault="0055425F">
      <w:pPr>
        <w:spacing w:before="120"/>
      </w:pPr>
    </w:p>
    <w:sectPr w:rsidR="0055425F">
      <w:type w:val="continuous"/>
      <w:pgSz w:w="12240" w:h="15840"/>
      <w:pgMar w:top="855" w:right="990" w:bottom="855" w:left="1890" w:header="270" w:footer="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FEC" w:rsidRDefault="00F02B34">
      <w:r>
        <w:separator/>
      </w:r>
    </w:p>
  </w:endnote>
  <w:endnote w:type="continuationSeparator" w:id="0">
    <w:p w:rsidR="00CF5FEC" w:rsidRDefault="00F0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5F" w:rsidRDefault="005542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5F" w:rsidRDefault="0055425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5F" w:rsidRDefault="005542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FEC" w:rsidRDefault="00F02B34">
      <w:r>
        <w:separator/>
      </w:r>
    </w:p>
  </w:footnote>
  <w:footnote w:type="continuationSeparator" w:id="0">
    <w:p w:rsidR="00CF5FEC" w:rsidRDefault="00F02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5F" w:rsidRDefault="005542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5F" w:rsidRDefault="0055425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5F" w:rsidRDefault="005542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styleLink w:val="wklist1"/>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3"/>
    <w:multiLevelType w:val="multilevel"/>
    <w:tmpl w:val="00000003"/>
    <w:styleLink w:val="wklist2"/>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5"/>
    <w:multiLevelType w:val="multilevel"/>
    <w:tmpl w:val="00000005"/>
    <w:styleLink w:val="wklist3"/>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07"/>
    <w:multiLevelType w:val="multilevel"/>
    <w:tmpl w:val="00000007"/>
    <w:styleLink w:val="wklist4"/>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09"/>
    <w:multiLevelType w:val="multilevel"/>
    <w:tmpl w:val="00000009"/>
    <w:styleLink w:val="wklist5"/>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0B"/>
    <w:multiLevelType w:val="multilevel"/>
    <w:tmpl w:val="0000000B"/>
    <w:styleLink w:val="wklist6"/>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0D"/>
    <w:multiLevelType w:val="multilevel"/>
    <w:tmpl w:val="0000000D"/>
    <w:styleLink w:val="wklist7"/>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0F"/>
    <w:multiLevelType w:val="multilevel"/>
    <w:tmpl w:val="0000000F"/>
    <w:styleLink w:val="wklist8"/>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11"/>
    <w:multiLevelType w:val="multilevel"/>
    <w:tmpl w:val="00000011"/>
    <w:styleLink w:val="wklist9"/>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9" w15:restartNumberingAfterBreak="0">
    <w:nsid w:val="00000013"/>
    <w:multiLevelType w:val="multilevel"/>
    <w:tmpl w:val="00000013"/>
    <w:styleLink w:val="wklist10"/>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0" w15:restartNumberingAfterBreak="0">
    <w:nsid w:val="00000015"/>
    <w:multiLevelType w:val="multilevel"/>
    <w:tmpl w:val="00000015"/>
    <w:styleLink w:val="wklist11"/>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1" w15:restartNumberingAfterBreak="0">
    <w:nsid w:val="00000017"/>
    <w:multiLevelType w:val="multilevel"/>
    <w:tmpl w:val="00000017"/>
    <w:styleLink w:val="wklist12"/>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2" w15:restartNumberingAfterBreak="0">
    <w:nsid w:val="00000019"/>
    <w:multiLevelType w:val="multilevel"/>
    <w:tmpl w:val="00000019"/>
    <w:styleLink w:val="wklist13"/>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3" w15:restartNumberingAfterBreak="0">
    <w:nsid w:val="0000001B"/>
    <w:multiLevelType w:val="multilevel"/>
    <w:tmpl w:val="0000001B"/>
    <w:styleLink w:val="wklist14"/>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4" w15:restartNumberingAfterBreak="0">
    <w:nsid w:val="0000001D"/>
    <w:multiLevelType w:val="multilevel"/>
    <w:tmpl w:val="0000001D"/>
    <w:styleLink w:val="wklist15"/>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5" w15:restartNumberingAfterBreak="0">
    <w:nsid w:val="0000001E"/>
    <w:multiLevelType w:val="multilevel"/>
    <w:tmpl w:val="0000001D"/>
    <w:numStyleLink w:val="wklist15"/>
  </w:abstractNum>
  <w:abstractNum w:abstractNumId="16" w15:restartNumberingAfterBreak="0">
    <w:nsid w:val="0000001F"/>
    <w:multiLevelType w:val="multilevel"/>
    <w:tmpl w:val="0000001F"/>
    <w:styleLink w:val="wklist16"/>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7" w15:restartNumberingAfterBreak="0">
    <w:nsid w:val="00000021"/>
    <w:multiLevelType w:val="multilevel"/>
    <w:tmpl w:val="00000021"/>
    <w:styleLink w:val="wklist17"/>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8" w15:restartNumberingAfterBreak="0">
    <w:nsid w:val="00000023"/>
    <w:multiLevelType w:val="multilevel"/>
    <w:tmpl w:val="00000023"/>
    <w:styleLink w:val="wklist18"/>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9" w15:restartNumberingAfterBreak="0">
    <w:nsid w:val="00000025"/>
    <w:multiLevelType w:val="multilevel"/>
    <w:tmpl w:val="00000025"/>
    <w:styleLink w:val="wklist19"/>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0" w15:restartNumberingAfterBreak="0">
    <w:nsid w:val="00000027"/>
    <w:multiLevelType w:val="multilevel"/>
    <w:tmpl w:val="00000027"/>
    <w:styleLink w:val="wklist20"/>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1" w15:restartNumberingAfterBreak="0">
    <w:nsid w:val="00000029"/>
    <w:multiLevelType w:val="multilevel"/>
    <w:tmpl w:val="00000029"/>
    <w:styleLink w:val="wklist2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2" w15:restartNumberingAfterBreak="0">
    <w:nsid w:val="0000002B"/>
    <w:multiLevelType w:val="multilevel"/>
    <w:tmpl w:val="0000002B"/>
    <w:styleLink w:val="wklist22"/>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3" w15:restartNumberingAfterBreak="0">
    <w:nsid w:val="0000002D"/>
    <w:multiLevelType w:val="multilevel"/>
    <w:tmpl w:val="0000002D"/>
    <w:styleLink w:val="wklist23"/>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4" w15:restartNumberingAfterBreak="0">
    <w:nsid w:val="0000002F"/>
    <w:multiLevelType w:val="multilevel"/>
    <w:tmpl w:val="0000002F"/>
    <w:styleLink w:val="wklist24"/>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5" w15:restartNumberingAfterBreak="0">
    <w:nsid w:val="00000031"/>
    <w:multiLevelType w:val="multilevel"/>
    <w:tmpl w:val="00000031"/>
    <w:styleLink w:val="wklist25"/>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6" w15:restartNumberingAfterBreak="0">
    <w:nsid w:val="00000033"/>
    <w:multiLevelType w:val="multilevel"/>
    <w:tmpl w:val="00000033"/>
    <w:styleLink w:val="wklist26"/>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7" w15:restartNumberingAfterBreak="0">
    <w:nsid w:val="00000035"/>
    <w:multiLevelType w:val="multilevel"/>
    <w:tmpl w:val="00000035"/>
    <w:styleLink w:val="wklist27"/>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8" w15:restartNumberingAfterBreak="0">
    <w:nsid w:val="00000037"/>
    <w:multiLevelType w:val="multilevel"/>
    <w:tmpl w:val="00000037"/>
    <w:styleLink w:val="wklist28"/>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9" w15:restartNumberingAfterBreak="0">
    <w:nsid w:val="00000039"/>
    <w:multiLevelType w:val="multilevel"/>
    <w:tmpl w:val="00000039"/>
    <w:styleLink w:val="wklist29"/>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0" w15:restartNumberingAfterBreak="0">
    <w:nsid w:val="0000003B"/>
    <w:multiLevelType w:val="multilevel"/>
    <w:tmpl w:val="0000003B"/>
    <w:styleLink w:val="wklist30"/>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1" w15:restartNumberingAfterBreak="0">
    <w:nsid w:val="0000003D"/>
    <w:multiLevelType w:val="multilevel"/>
    <w:tmpl w:val="0000003D"/>
    <w:styleLink w:val="wklist3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2" w15:restartNumberingAfterBreak="0">
    <w:nsid w:val="0000003F"/>
    <w:multiLevelType w:val="multilevel"/>
    <w:tmpl w:val="0000003F"/>
    <w:styleLink w:val="wklist32"/>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3" w15:restartNumberingAfterBreak="0">
    <w:nsid w:val="00000041"/>
    <w:multiLevelType w:val="multilevel"/>
    <w:tmpl w:val="00000041"/>
    <w:styleLink w:val="wklist33"/>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4" w15:restartNumberingAfterBreak="0">
    <w:nsid w:val="00000043"/>
    <w:multiLevelType w:val="multilevel"/>
    <w:tmpl w:val="00000043"/>
    <w:styleLink w:val="wklist34"/>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5" w15:restartNumberingAfterBreak="0">
    <w:nsid w:val="00000045"/>
    <w:multiLevelType w:val="multilevel"/>
    <w:tmpl w:val="00000045"/>
    <w:styleLink w:val="wklist35"/>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6" w15:restartNumberingAfterBreak="0">
    <w:nsid w:val="00000047"/>
    <w:multiLevelType w:val="multilevel"/>
    <w:tmpl w:val="00000047"/>
    <w:styleLink w:val="wklist36"/>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7" w15:restartNumberingAfterBreak="0">
    <w:nsid w:val="00000049"/>
    <w:multiLevelType w:val="multilevel"/>
    <w:tmpl w:val="00000049"/>
    <w:styleLink w:val="wklist37"/>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8" w15:restartNumberingAfterBreak="0">
    <w:nsid w:val="0000004A"/>
    <w:multiLevelType w:val="multilevel"/>
    <w:tmpl w:val="00000049"/>
    <w:numStyleLink w:val="wklist37"/>
  </w:abstractNum>
  <w:abstractNum w:abstractNumId="39" w15:restartNumberingAfterBreak="0">
    <w:nsid w:val="0000004B"/>
    <w:multiLevelType w:val="multilevel"/>
    <w:tmpl w:val="0000004B"/>
    <w:styleLink w:val="wklist38"/>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0" w15:restartNumberingAfterBreak="0">
    <w:nsid w:val="0000004D"/>
    <w:multiLevelType w:val="multilevel"/>
    <w:tmpl w:val="0000004D"/>
    <w:styleLink w:val="wklist39"/>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1" w15:restartNumberingAfterBreak="0">
    <w:nsid w:val="0000004F"/>
    <w:multiLevelType w:val="multilevel"/>
    <w:tmpl w:val="0000004F"/>
    <w:styleLink w:val="wklist40"/>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2" w15:restartNumberingAfterBreak="0">
    <w:nsid w:val="00000051"/>
    <w:multiLevelType w:val="multilevel"/>
    <w:tmpl w:val="00000051"/>
    <w:styleLink w:val="wklist41"/>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3" w15:restartNumberingAfterBreak="0">
    <w:nsid w:val="00000053"/>
    <w:multiLevelType w:val="multilevel"/>
    <w:tmpl w:val="00000053"/>
    <w:styleLink w:val="wklist42"/>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4" w15:restartNumberingAfterBreak="0">
    <w:nsid w:val="00000055"/>
    <w:multiLevelType w:val="multilevel"/>
    <w:tmpl w:val="00000055"/>
    <w:styleLink w:val="wklist43"/>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5" w15:restartNumberingAfterBreak="0">
    <w:nsid w:val="00000057"/>
    <w:multiLevelType w:val="multilevel"/>
    <w:tmpl w:val="00000057"/>
    <w:styleLink w:val="wklist44"/>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6" w15:restartNumberingAfterBreak="0">
    <w:nsid w:val="00000059"/>
    <w:multiLevelType w:val="multilevel"/>
    <w:tmpl w:val="00000059"/>
    <w:styleLink w:val="wklist45"/>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7" w15:restartNumberingAfterBreak="0">
    <w:nsid w:val="0000005B"/>
    <w:multiLevelType w:val="multilevel"/>
    <w:tmpl w:val="0000005B"/>
    <w:styleLink w:val="wklist46"/>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8" w15:restartNumberingAfterBreak="0">
    <w:nsid w:val="0000005D"/>
    <w:multiLevelType w:val="multilevel"/>
    <w:tmpl w:val="0000005D"/>
    <w:styleLink w:val="wklist47"/>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9" w15:restartNumberingAfterBreak="0">
    <w:nsid w:val="0000005F"/>
    <w:multiLevelType w:val="multilevel"/>
    <w:tmpl w:val="0000005F"/>
    <w:styleLink w:val="wklist48"/>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0" w15:restartNumberingAfterBreak="0">
    <w:nsid w:val="00000061"/>
    <w:multiLevelType w:val="multilevel"/>
    <w:tmpl w:val="00000061"/>
    <w:styleLink w:val="wklist49"/>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1" w15:restartNumberingAfterBreak="0">
    <w:nsid w:val="00000063"/>
    <w:multiLevelType w:val="multilevel"/>
    <w:tmpl w:val="00000063"/>
    <w:styleLink w:val="wklist50"/>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2" w15:restartNumberingAfterBreak="0">
    <w:nsid w:val="00000065"/>
    <w:multiLevelType w:val="multilevel"/>
    <w:tmpl w:val="00000065"/>
    <w:styleLink w:val="wklist51"/>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3" w15:restartNumberingAfterBreak="0">
    <w:nsid w:val="00000067"/>
    <w:multiLevelType w:val="multilevel"/>
    <w:tmpl w:val="00000067"/>
    <w:styleLink w:val="wklist52"/>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4" w15:restartNumberingAfterBreak="0">
    <w:nsid w:val="00000069"/>
    <w:multiLevelType w:val="multilevel"/>
    <w:tmpl w:val="00000069"/>
    <w:styleLink w:val="wklist53"/>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5" w15:restartNumberingAfterBreak="0">
    <w:nsid w:val="0000006B"/>
    <w:multiLevelType w:val="multilevel"/>
    <w:tmpl w:val="0000006B"/>
    <w:styleLink w:val="wklist54"/>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6" w15:restartNumberingAfterBreak="0">
    <w:nsid w:val="0000006C"/>
    <w:multiLevelType w:val="multilevel"/>
    <w:tmpl w:val="0000006B"/>
    <w:numStyleLink w:val="wklist54"/>
  </w:abstractNum>
  <w:abstractNum w:abstractNumId="57" w15:restartNumberingAfterBreak="0">
    <w:nsid w:val="0000006D"/>
    <w:multiLevelType w:val="multilevel"/>
    <w:tmpl w:val="0000006D"/>
    <w:styleLink w:val="wklist55"/>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8" w15:restartNumberingAfterBreak="0">
    <w:nsid w:val="0000006F"/>
    <w:multiLevelType w:val="multilevel"/>
    <w:tmpl w:val="0000006F"/>
    <w:styleLink w:val="wklist56"/>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9" w15:restartNumberingAfterBreak="0">
    <w:nsid w:val="00000071"/>
    <w:multiLevelType w:val="multilevel"/>
    <w:tmpl w:val="00000071"/>
    <w:styleLink w:val="wklist57"/>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0" w15:restartNumberingAfterBreak="0">
    <w:nsid w:val="00000073"/>
    <w:multiLevelType w:val="multilevel"/>
    <w:tmpl w:val="00000073"/>
    <w:styleLink w:val="wklist58"/>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1" w15:restartNumberingAfterBreak="0">
    <w:nsid w:val="00000075"/>
    <w:multiLevelType w:val="multilevel"/>
    <w:tmpl w:val="00000075"/>
    <w:styleLink w:val="wklist59"/>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2" w15:restartNumberingAfterBreak="0">
    <w:nsid w:val="00000077"/>
    <w:multiLevelType w:val="multilevel"/>
    <w:tmpl w:val="00000077"/>
    <w:styleLink w:val="wklist60"/>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3" w15:restartNumberingAfterBreak="0">
    <w:nsid w:val="00000079"/>
    <w:multiLevelType w:val="multilevel"/>
    <w:tmpl w:val="00000079"/>
    <w:styleLink w:val="wklist61"/>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4" w15:restartNumberingAfterBreak="0">
    <w:nsid w:val="0000007B"/>
    <w:multiLevelType w:val="multilevel"/>
    <w:tmpl w:val="0000007B"/>
    <w:styleLink w:val="wklist62"/>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5" w15:restartNumberingAfterBreak="0">
    <w:nsid w:val="0000007D"/>
    <w:multiLevelType w:val="multilevel"/>
    <w:tmpl w:val="0000007D"/>
    <w:styleLink w:val="wklist63"/>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6" w15:restartNumberingAfterBreak="0">
    <w:nsid w:val="0000007F"/>
    <w:multiLevelType w:val="multilevel"/>
    <w:tmpl w:val="0000007F"/>
    <w:styleLink w:val="wklist64"/>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7" w15:restartNumberingAfterBreak="0">
    <w:nsid w:val="00000081"/>
    <w:multiLevelType w:val="multilevel"/>
    <w:tmpl w:val="00000081"/>
    <w:styleLink w:val="wklist65"/>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8" w15:restartNumberingAfterBreak="0">
    <w:nsid w:val="00000083"/>
    <w:multiLevelType w:val="multilevel"/>
    <w:tmpl w:val="00000083"/>
    <w:styleLink w:val="wklist66"/>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9" w15:restartNumberingAfterBreak="0">
    <w:nsid w:val="00000084"/>
    <w:multiLevelType w:val="multilevel"/>
    <w:tmpl w:val="00000083"/>
    <w:numStyleLink w:val="wklist66"/>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5425F"/>
    <w:rsid w:val="009E67E0"/>
    <w:rsid w:val="00A77B3E"/>
    <w:rsid w:val="00AE072F"/>
    <w:rsid w:val="00CA2A55"/>
    <w:rsid w:val="00CF5FEC"/>
    <w:rsid w:val="00F0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B85252-8084-4DE1-92CE-61ABFA42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klist1">
    <w:name w:val="wk_list_1"/>
    <w:pPr>
      <w:numPr>
        <w:numId w:val="1"/>
      </w:numPr>
    </w:pPr>
  </w:style>
  <w:style w:type="numbering" w:customStyle="1" w:styleId="wklist2">
    <w:name w:val="wk_list_2"/>
    <w:pPr>
      <w:numPr>
        <w:numId w:val="2"/>
      </w:numPr>
    </w:pPr>
  </w:style>
  <w:style w:type="numbering" w:customStyle="1" w:styleId="wklist3">
    <w:name w:val="wk_list_3"/>
    <w:pPr>
      <w:numPr>
        <w:numId w:val="3"/>
      </w:numPr>
    </w:pPr>
  </w:style>
  <w:style w:type="numbering" w:customStyle="1" w:styleId="wklist4">
    <w:name w:val="wk_list_4"/>
    <w:pPr>
      <w:numPr>
        <w:numId w:val="4"/>
      </w:numPr>
    </w:pPr>
  </w:style>
  <w:style w:type="numbering" w:customStyle="1" w:styleId="wklist5">
    <w:name w:val="wk_list_5"/>
    <w:pPr>
      <w:numPr>
        <w:numId w:val="5"/>
      </w:numPr>
    </w:pPr>
  </w:style>
  <w:style w:type="numbering" w:customStyle="1" w:styleId="wklist6">
    <w:name w:val="wk_list_6"/>
    <w:pPr>
      <w:numPr>
        <w:numId w:val="6"/>
      </w:numPr>
    </w:pPr>
  </w:style>
  <w:style w:type="numbering" w:customStyle="1" w:styleId="wklist7">
    <w:name w:val="wk_list_7"/>
    <w:pPr>
      <w:numPr>
        <w:numId w:val="7"/>
      </w:numPr>
    </w:pPr>
  </w:style>
  <w:style w:type="numbering" w:customStyle="1" w:styleId="wklist8">
    <w:name w:val="wk_list_8"/>
    <w:pPr>
      <w:numPr>
        <w:numId w:val="8"/>
      </w:numPr>
    </w:pPr>
  </w:style>
  <w:style w:type="numbering" w:customStyle="1" w:styleId="wklist9">
    <w:name w:val="wk_list_9"/>
    <w:pPr>
      <w:numPr>
        <w:numId w:val="9"/>
      </w:numPr>
    </w:pPr>
  </w:style>
  <w:style w:type="numbering" w:customStyle="1" w:styleId="wklist10">
    <w:name w:val="wk_list_10"/>
    <w:pPr>
      <w:numPr>
        <w:numId w:val="10"/>
      </w:numPr>
    </w:pPr>
  </w:style>
  <w:style w:type="numbering" w:customStyle="1" w:styleId="wklist11">
    <w:name w:val="wk_list_11"/>
    <w:pPr>
      <w:numPr>
        <w:numId w:val="11"/>
      </w:numPr>
    </w:pPr>
  </w:style>
  <w:style w:type="numbering" w:customStyle="1" w:styleId="wklist12">
    <w:name w:val="wk_list_12"/>
    <w:pPr>
      <w:numPr>
        <w:numId w:val="12"/>
      </w:numPr>
    </w:pPr>
  </w:style>
  <w:style w:type="numbering" w:customStyle="1" w:styleId="wklist13">
    <w:name w:val="wk_list_13"/>
    <w:pPr>
      <w:numPr>
        <w:numId w:val="13"/>
      </w:numPr>
    </w:pPr>
  </w:style>
  <w:style w:type="numbering" w:customStyle="1" w:styleId="wklist14">
    <w:name w:val="wk_list_14"/>
    <w:pPr>
      <w:numPr>
        <w:numId w:val="14"/>
      </w:numPr>
    </w:pPr>
  </w:style>
  <w:style w:type="numbering" w:customStyle="1" w:styleId="wklist15">
    <w:name w:val="wk_list_15"/>
    <w:pPr>
      <w:numPr>
        <w:numId w:val="15"/>
      </w:numPr>
    </w:pPr>
  </w:style>
  <w:style w:type="numbering" w:customStyle="1" w:styleId="wklist16">
    <w:name w:val="wk_list_16"/>
    <w:pPr>
      <w:numPr>
        <w:numId w:val="17"/>
      </w:numPr>
    </w:pPr>
  </w:style>
  <w:style w:type="numbering" w:customStyle="1" w:styleId="wklist17">
    <w:name w:val="wk_list_17"/>
    <w:pPr>
      <w:numPr>
        <w:numId w:val="18"/>
      </w:numPr>
    </w:pPr>
  </w:style>
  <w:style w:type="numbering" w:customStyle="1" w:styleId="wklist18">
    <w:name w:val="wk_list_18"/>
    <w:pPr>
      <w:numPr>
        <w:numId w:val="19"/>
      </w:numPr>
    </w:pPr>
  </w:style>
  <w:style w:type="numbering" w:customStyle="1" w:styleId="wklist19">
    <w:name w:val="wk_list_19"/>
    <w:pPr>
      <w:numPr>
        <w:numId w:val="20"/>
      </w:numPr>
    </w:pPr>
  </w:style>
  <w:style w:type="numbering" w:customStyle="1" w:styleId="wklist20">
    <w:name w:val="wk_list_20"/>
    <w:pPr>
      <w:numPr>
        <w:numId w:val="21"/>
      </w:numPr>
    </w:pPr>
  </w:style>
  <w:style w:type="numbering" w:customStyle="1" w:styleId="wklist21">
    <w:name w:val="wk_list_21"/>
    <w:pPr>
      <w:numPr>
        <w:numId w:val="22"/>
      </w:numPr>
    </w:pPr>
  </w:style>
  <w:style w:type="numbering" w:customStyle="1" w:styleId="wklist22">
    <w:name w:val="wk_list_22"/>
    <w:pPr>
      <w:numPr>
        <w:numId w:val="23"/>
      </w:numPr>
    </w:pPr>
  </w:style>
  <w:style w:type="numbering" w:customStyle="1" w:styleId="wklist23">
    <w:name w:val="wk_list_23"/>
    <w:pPr>
      <w:numPr>
        <w:numId w:val="24"/>
      </w:numPr>
    </w:pPr>
  </w:style>
  <w:style w:type="numbering" w:customStyle="1" w:styleId="wklist24">
    <w:name w:val="wk_list_24"/>
    <w:pPr>
      <w:numPr>
        <w:numId w:val="25"/>
      </w:numPr>
    </w:pPr>
  </w:style>
  <w:style w:type="numbering" w:customStyle="1" w:styleId="wklist25">
    <w:name w:val="wk_list_25"/>
    <w:pPr>
      <w:numPr>
        <w:numId w:val="26"/>
      </w:numPr>
    </w:pPr>
  </w:style>
  <w:style w:type="numbering" w:customStyle="1" w:styleId="wklist26">
    <w:name w:val="wk_list_26"/>
    <w:pPr>
      <w:numPr>
        <w:numId w:val="27"/>
      </w:numPr>
    </w:pPr>
  </w:style>
  <w:style w:type="numbering" w:customStyle="1" w:styleId="wklist27">
    <w:name w:val="wk_list_27"/>
    <w:pPr>
      <w:numPr>
        <w:numId w:val="28"/>
      </w:numPr>
    </w:pPr>
  </w:style>
  <w:style w:type="numbering" w:customStyle="1" w:styleId="wklist28">
    <w:name w:val="wk_list_28"/>
    <w:pPr>
      <w:numPr>
        <w:numId w:val="29"/>
      </w:numPr>
    </w:pPr>
  </w:style>
  <w:style w:type="numbering" w:customStyle="1" w:styleId="wklist29">
    <w:name w:val="wk_list_29"/>
    <w:pPr>
      <w:numPr>
        <w:numId w:val="30"/>
      </w:numPr>
    </w:pPr>
  </w:style>
  <w:style w:type="numbering" w:customStyle="1" w:styleId="wklist30">
    <w:name w:val="wk_list_30"/>
    <w:pPr>
      <w:numPr>
        <w:numId w:val="31"/>
      </w:numPr>
    </w:pPr>
  </w:style>
  <w:style w:type="numbering" w:customStyle="1" w:styleId="wklist31">
    <w:name w:val="wk_list_31"/>
    <w:pPr>
      <w:numPr>
        <w:numId w:val="32"/>
      </w:numPr>
    </w:pPr>
  </w:style>
  <w:style w:type="numbering" w:customStyle="1" w:styleId="wklist32">
    <w:name w:val="wk_list_32"/>
    <w:pPr>
      <w:numPr>
        <w:numId w:val="33"/>
      </w:numPr>
    </w:pPr>
  </w:style>
  <w:style w:type="numbering" w:customStyle="1" w:styleId="wklist33">
    <w:name w:val="wk_list_33"/>
    <w:pPr>
      <w:numPr>
        <w:numId w:val="34"/>
      </w:numPr>
    </w:pPr>
  </w:style>
  <w:style w:type="numbering" w:customStyle="1" w:styleId="wklist34">
    <w:name w:val="wk_list_34"/>
    <w:pPr>
      <w:numPr>
        <w:numId w:val="35"/>
      </w:numPr>
    </w:pPr>
  </w:style>
  <w:style w:type="numbering" w:customStyle="1" w:styleId="wklist35">
    <w:name w:val="wk_list_35"/>
    <w:pPr>
      <w:numPr>
        <w:numId w:val="36"/>
      </w:numPr>
    </w:pPr>
  </w:style>
  <w:style w:type="numbering" w:customStyle="1" w:styleId="wklist36">
    <w:name w:val="wk_list_36"/>
    <w:pPr>
      <w:numPr>
        <w:numId w:val="37"/>
      </w:numPr>
    </w:pPr>
  </w:style>
  <w:style w:type="numbering" w:customStyle="1" w:styleId="wklist37">
    <w:name w:val="wk_list_37"/>
    <w:pPr>
      <w:numPr>
        <w:numId w:val="38"/>
      </w:numPr>
    </w:pPr>
  </w:style>
  <w:style w:type="numbering" w:customStyle="1" w:styleId="wklist38">
    <w:name w:val="wk_list_38"/>
    <w:pPr>
      <w:numPr>
        <w:numId w:val="40"/>
      </w:numPr>
    </w:pPr>
  </w:style>
  <w:style w:type="numbering" w:customStyle="1" w:styleId="wklist39">
    <w:name w:val="wk_list_39"/>
    <w:pPr>
      <w:numPr>
        <w:numId w:val="41"/>
      </w:numPr>
    </w:pPr>
  </w:style>
  <w:style w:type="numbering" w:customStyle="1" w:styleId="wklist40">
    <w:name w:val="wk_list_40"/>
    <w:pPr>
      <w:numPr>
        <w:numId w:val="42"/>
      </w:numPr>
    </w:pPr>
  </w:style>
  <w:style w:type="numbering" w:customStyle="1" w:styleId="wklist41">
    <w:name w:val="wk_list_41"/>
    <w:pPr>
      <w:numPr>
        <w:numId w:val="43"/>
      </w:numPr>
    </w:pPr>
  </w:style>
  <w:style w:type="numbering" w:customStyle="1" w:styleId="wklist42">
    <w:name w:val="wk_list_42"/>
    <w:pPr>
      <w:numPr>
        <w:numId w:val="44"/>
      </w:numPr>
    </w:pPr>
  </w:style>
  <w:style w:type="numbering" w:customStyle="1" w:styleId="wklist43">
    <w:name w:val="wk_list_43"/>
    <w:pPr>
      <w:numPr>
        <w:numId w:val="45"/>
      </w:numPr>
    </w:pPr>
  </w:style>
  <w:style w:type="numbering" w:customStyle="1" w:styleId="wklist44">
    <w:name w:val="wk_list_44"/>
    <w:pPr>
      <w:numPr>
        <w:numId w:val="46"/>
      </w:numPr>
    </w:pPr>
  </w:style>
  <w:style w:type="numbering" w:customStyle="1" w:styleId="wklist45">
    <w:name w:val="wk_list_45"/>
    <w:pPr>
      <w:numPr>
        <w:numId w:val="47"/>
      </w:numPr>
    </w:pPr>
  </w:style>
  <w:style w:type="numbering" w:customStyle="1" w:styleId="wklist46">
    <w:name w:val="wk_list_46"/>
    <w:pPr>
      <w:numPr>
        <w:numId w:val="48"/>
      </w:numPr>
    </w:pPr>
  </w:style>
  <w:style w:type="numbering" w:customStyle="1" w:styleId="wklist47">
    <w:name w:val="wk_list_47"/>
    <w:pPr>
      <w:numPr>
        <w:numId w:val="49"/>
      </w:numPr>
    </w:pPr>
  </w:style>
  <w:style w:type="numbering" w:customStyle="1" w:styleId="wklist48">
    <w:name w:val="wk_list_48"/>
    <w:pPr>
      <w:numPr>
        <w:numId w:val="50"/>
      </w:numPr>
    </w:pPr>
  </w:style>
  <w:style w:type="numbering" w:customStyle="1" w:styleId="wklist49">
    <w:name w:val="wk_list_49"/>
    <w:pPr>
      <w:numPr>
        <w:numId w:val="51"/>
      </w:numPr>
    </w:pPr>
  </w:style>
  <w:style w:type="numbering" w:customStyle="1" w:styleId="wklist50">
    <w:name w:val="wk_list_50"/>
    <w:pPr>
      <w:numPr>
        <w:numId w:val="52"/>
      </w:numPr>
    </w:pPr>
  </w:style>
  <w:style w:type="numbering" w:customStyle="1" w:styleId="wklist51">
    <w:name w:val="wk_list_51"/>
    <w:pPr>
      <w:numPr>
        <w:numId w:val="53"/>
      </w:numPr>
    </w:pPr>
  </w:style>
  <w:style w:type="numbering" w:customStyle="1" w:styleId="wklist52">
    <w:name w:val="wk_list_52"/>
    <w:pPr>
      <w:numPr>
        <w:numId w:val="54"/>
      </w:numPr>
    </w:pPr>
  </w:style>
  <w:style w:type="numbering" w:customStyle="1" w:styleId="wklist53">
    <w:name w:val="wk_list_53"/>
    <w:pPr>
      <w:numPr>
        <w:numId w:val="55"/>
      </w:numPr>
    </w:pPr>
  </w:style>
  <w:style w:type="numbering" w:customStyle="1" w:styleId="wklist54">
    <w:name w:val="wk_list_54"/>
    <w:pPr>
      <w:numPr>
        <w:numId w:val="56"/>
      </w:numPr>
    </w:pPr>
  </w:style>
  <w:style w:type="numbering" w:customStyle="1" w:styleId="wklist55">
    <w:name w:val="wk_list_55"/>
    <w:pPr>
      <w:numPr>
        <w:numId w:val="58"/>
      </w:numPr>
    </w:pPr>
  </w:style>
  <w:style w:type="numbering" w:customStyle="1" w:styleId="wklist56">
    <w:name w:val="wk_list_56"/>
    <w:pPr>
      <w:numPr>
        <w:numId w:val="59"/>
      </w:numPr>
    </w:pPr>
  </w:style>
  <w:style w:type="numbering" w:customStyle="1" w:styleId="wklist57">
    <w:name w:val="wk_list_57"/>
    <w:pPr>
      <w:numPr>
        <w:numId w:val="60"/>
      </w:numPr>
    </w:pPr>
  </w:style>
  <w:style w:type="numbering" w:customStyle="1" w:styleId="wklist58">
    <w:name w:val="wk_list_58"/>
    <w:pPr>
      <w:numPr>
        <w:numId w:val="61"/>
      </w:numPr>
    </w:pPr>
  </w:style>
  <w:style w:type="numbering" w:customStyle="1" w:styleId="wklist59">
    <w:name w:val="wk_list_59"/>
    <w:pPr>
      <w:numPr>
        <w:numId w:val="62"/>
      </w:numPr>
    </w:pPr>
  </w:style>
  <w:style w:type="numbering" w:customStyle="1" w:styleId="wklist60">
    <w:name w:val="wk_list_60"/>
    <w:pPr>
      <w:numPr>
        <w:numId w:val="63"/>
      </w:numPr>
    </w:pPr>
  </w:style>
  <w:style w:type="numbering" w:customStyle="1" w:styleId="wklist61">
    <w:name w:val="wk_list_61"/>
    <w:pPr>
      <w:numPr>
        <w:numId w:val="64"/>
      </w:numPr>
    </w:pPr>
  </w:style>
  <w:style w:type="numbering" w:customStyle="1" w:styleId="wklist62">
    <w:name w:val="wk_list_62"/>
    <w:pPr>
      <w:numPr>
        <w:numId w:val="65"/>
      </w:numPr>
    </w:pPr>
  </w:style>
  <w:style w:type="numbering" w:customStyle="1" w:styleId="wklist63">
    <w:name w:val="wk_list_63"/>
    <w:pPr>
      <w:numPr>
        <w:numId w:val="66"/>
      </w:numPr>
    </w:pPr>
  </w:style>
  <w:style w:type="numbering" w:customStyle="1" w:styleId="wklist64">
    <w:name w:val="wk_list_64"/>
    <w:pPr>
      <w:numPr>
        <w:numId w:val="67"/>
      </w:numPr>
    </w:pPr>
  </w:style>
  <w:style w:type="numbering" w:customStyle="1" w:styleId="wklist65">
    <w:name w:val="wk_list_65"/>
    <w:pPr>
      <w:numPr>
        <w:numId w:val="68"/>
      </w:numPr>
    </w:pPr>
  </w:style>
  <w:style w:type="numbering" w:customStyle="1" w:styleId="wklist66">
    <w:name w:val="wk_list_66"/>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34F62B3B</Template>
  <TotalTime>1</TotalTime>
  <Pages>8</Pages>
  <Words>2621</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PDM 6 30 19 EX 99 1 Q2 2019 EARNINGS RELEASE</vt:lpstr>
    </vt:vector>
  </TitlesOfParts>
  <Company/>
  <LinksUpToDate>false</LinksUpToDate>
  <CharactersWithSpaces>18627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 6 30 19 EX 99 1 Q2 2019 EARNINGS RELEASE</dc:title>
  <dc:creator>Laura Moon</dc:creator>
  <cp:lastModifiedBy>Laura Moon</cp:lastModifiedBy>
  <cp:revision>3</cp:revision>
  <dcterms:created xsi:type="dcterms:W3CDTF">2019-07-31T17:39:00Z</dcterms:created>
  <dcterms:modified xsi:type="dcterms:W3CDTF">2019-07-31T17:40:00Z</dcterms:modified>
</cp:coreProperties>
</file>