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482F2" w14:textId="77777777" w:rsidR="00A77B3E" w:rsidRDefault="00A77B3E">
      <w:pPr>
        <w:spacing w:line="248" w:lineRule="auto"/>
        <w:rPr>
          <w:b/>
          <w:sz w:val="20"/>
        </w:rPr>
      </w:pPr>
    </w:p>
    <w:p w14:paraId="1EF0427A" w14:textId="77777777" w:rsidR="00A77B3E" w:rsidRDefault="00BD0E60">
      <w:pPr>
        <w:spacing w:line="248" w:lineRule="auto"/>
        <w:rPr>
          <w:b/>
          <w:sz w:val="20"/>
        </w:rPr>
      </w:pPr>
      <w:r>
        <w:rPr>
          <w:noProof/>
        </w:rPr>
        <w:drawing>
          <wp:inline distT="0" distB="0" distL="0" distR="0" wp14:anchorId="7970691F" wp14:editId="687DBCFA">
            <wp:extent cx="1543050" cy="12573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543050" cy="1257300"/>
                    </a:xfrm>
                    <a:prstGeom prst="rect">
                      <a:avLst/>
                    </a:prstGeom>
                    <a:noFill/>
                    <a:ln>
                      <a:noFill/>
                    </a:ln>
                  </pic:spPr>
                </pic:pic>
              </a:graphicData>
            </a:graphic>
          </wp:inline>
        </w:drawing>
      </w:r>
    </w:p>
    <w:p w14:paraId="0232FD85" w14:textId="77777777" w:rsidR="00A77B3E" w:rsidRDefault="00A77B3E">
      <w:pPr>
        <w:spacing w:line="248" w:lineRule="auto"/>
        <w:rPr>
          <w:rFonts w:ascii="Arial" w:eastAsia="Arial" w:hAnsi="Arial" w:cs="Arial"/>
          <w:b/>
        </w:rPr>
      </w:pPr>
    </w:p>
    <w:p w14:paraId="79347775" w14:textId="77777777" w:rsidR="00A77B3E" w:rsidRDefault="00BD0E60">
      <w:pPr>
        <w:spacing w:line="248" w:lineRule="auto"/>
        <w:rPr>
          <w:rFonts w:ascii="Arial" w:eastAsia="Arial" w:hAnsi="Arial" w:cs="Arial"/>
          <w:b/>
        </w:rPr>
      </w:pPr>
      <w:bookmarkStart w:id="0" w:name="_GoBack"/>
      <w:r>
        <w:rPr>
          <w:b/>
        </w:rPr>
        <w:t xml:space="preserve">SHELL MIDSTREAM PARTNERS, L.P. 3rd QUARTER 2020 UNAUDITED RESULTS </w:t>
      </w:r>
    </w:p>
    <w:bookmarkEnd w:id="0"/>
    <w:p w14:paraId="6CD7C0C9" w14:textId="77777777" w:rsidR="00A77B3E" w:rsidRDefault="00A77B3E">
      <w:pPr>
        <w:spacing w:line="248" w:lineRule="auto"/>
        <w:rPr>
          <w:b/>
          <w:color w:val="EE2724"/>
          <w:shd w:val="clear" w:color="auto" w:fill="FFFF00"/>
        </w:rPr>
      </w:pPr>
    </w:p>
    <w:tbl>
      <w:tblPr>
        <w:tblW w:w="10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8310"/>
      </w:tblGrid>
      <w:tr w:rsidR="002E0961" w14:paraId="10CB7A7F" w14:textId="77777777">
        <w:trPr>
          <w:cantSplit/>
          <w:trHeight w:hRule="exact" w:val="2625"/>
        </w:trPr>
        <w:tc>
          <w:tcPr>
            <w:tcW w:w="1965" w:type="dxa"/>
            <w:tcBorders>
              <w:top w:val="nil"/>
              <w:left w:val="nil"/>
              <w:bottom w:val="nil"/>
              <w:right w:val="nil"/>
            </w:tcBorders>
            <w:tcMar>
              <w:top w:w="0" w:type="dxa"/>
              <w:left w:w="53" w:type="dxa"/>
              <w:bottom w:w="0" w:type="dxa"/>
              <w:right w:w="53" w:type="dxa"/>
            </w:tcMar>
            <w:vAlign w:val="bottom"/>
          </w:tcPr>
          <w:p w14:paraId="2C0BC48D" w14:textId="77777777" w:rsidR="002E0961" w:rsidRDefault="00BD0E60">
            <w:pPr>
              <w:spacing w:before="75" w:after="30" w:line="209" w:lineRule="auto"/>
              <w:rPr>
                <w:rFonts w:ascii="Arial" w:eastAsia="Arial" w:hAnsi="Arial" w:cs="Arial"/>
                <w:sz w:val="20"/>
              </w:rPr>
            </w:pPr>
            <w:r>
              <w:rPr>
                <w:noProof/>
              </w:rPr>
              <w:drawing>
                <wp:inline distT="0" distB="0" distL="0" distR="0" wp14:anchorId="3AC7A042" wp14:editId="175BCADD">
                  <wp:extent cx="1190625" cy="15144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190625" cy="1514475"/>
                          </a:xfrm>
                          <a:prstGeom prst="rect">
                            <a:avLst/>
                          </a:prstGeom>
                          <a:noFill/>
                          <a:ln>
                            <a:noFill/>
                          </a:ln>
                        </pic:spPr>
                      </pic:pic>
                    </a:graphicData>
                  </a:graphic>
                </wp:inline>
              </w:drawing>
            </w:r>
          </w:p>
        </w:tc>
        <w:tc>
          <w:tcPr>
            <w:tcW w:w="8160" w:type="dxa"/>
            <w:tcBorders>
              <w:top w:val="nil"/>
              <w:left w:val="nil"/>
              <w:bottom w:val="nil"/>
              <w:right w:val="nil"/>
            </w:tcBorders>
            <w:tcMar>
              <w:top w:w="0" w:type="dxa"/>
              <w:left w:w="53" w:type="dxa"/>
              <w:bottom w:w="0" w:type="dxa"/>
              <w:right w:w="53" w:type="dxa"/>
            </w:tcMar>
            <w:vAlign w:val="center"/>
          </w:tcPr>
          <w:p w14:paraId="5A800D7E" w14:textId="77777777" w:rsidR="002E0961" w:rsidRDefault="00BD0E60">
            <w:pPr>
              <w:spacing w:line="209" w:lineRule="auto"/>
              <w:rPr>
                <w:sz w:val="20"/>
              </w:rPr>
            </w:pPr>
            <w:r>
              <w:rPr>
                <w:sz w:val="20"/>
              </w:rPr>
              <w:t>• The Partnership reported $135 million of net income attributable to the Partnership, $149 million of net cash provided by operating activities, $191 million of adjusted EBITDA attributable to the Partnership and $163 million of cash available for distribution.</w:t>
            </w:r>
          </w:p>
          <w:p w14:paraId="7D92846B" w14:textId="77777777" w:rsidR="002E0961" w:rsidRDefault="002E0961">
            <w:pPr>
              <w:spacing w:line="209" w:lineRule="auto"/>
              <w:rPr>
                <w:sz w:val="20"/>
              </w:rPr>
            </w:pPr>
          </w:p>
          <w:p w14:paraId="78EF016B" w14:textId="77777777" w:rsidR="002E0961" w:rsidRDefault="00BD0E60">
            <w:pPr>
              <w:spacing w:line="209" w:lineRule="auto"/>
              <w:rPr>
                <w:sz w:val="20"/>
              </w:rPr>
            </w:pPr>
            <w:r>
              <w:rPr>
                <w:sz w:val="20"/>
              </w:rPr>
              <w:t>• Third quarter distribution of $0.46 per common unit, consistent with the previous quarter.</w:t>
            </w:r>
          </w:p>
          <w:p w14:paraId="04164C27" w14:textId="77777777" w:rsidR="00192912" w:rsidRDefault="00192912">
            <w:pPr>
              <w:spacing w:line="209" w:lineRule="auto"/>
              <w:rPr>
                <w:sz w:val="20"/>
              </w:rPr>
            </w:pPr>
          </w:p>
          <w:p w14:paraId="66742565" w14:textId="77777777" w:rsidR="002E0961" w:rsidRDefault="00BD0E60">
            <w:pPr>
              <w:spacing w:line="209" w:lineRule="auto"/>
              <w:rPr>
                <w:sz w:val="20"/>
              </w:rPr>
            </w:pPr>
            <w:r>
              <w:rPr>
                <w:sz w:val="20"/>
              </w:rPr>
              <w:t>• The resilient asset base delivered value despite a challenging macro environment and multiple producer shut-ins in the Gulf of Mexico due to storms. Onshore, results continued to be impacted by lower demand related to the COVID-19 pandemic.</w:t>
            </w:r>
          </w:p>
        </w:tc>
      </w:tr>
    </w:tbl>
    <w:p w14:paraId="692715B4" w14:textId="77777777" w:rsidR="00A77B3E" w:rsidRDefault="00A77B3E">
      <w:pPr>
        <w:spacing w:before="120" w:line="248" w:lineRule="auto"/>
        <w:jc w:val="center"/>
        <w:rPr>
          <w:b/>
          <w:sz w:val="20"/>
        </w:rPr>
      </w:pPr>
    </w:p>
    <w:p w14:paraId="1B7883BE" w14:textId="77777777" w:rsidR="00A77B3E" w:rsidRDefault="00BD0E60">
      <w:pPr>
        <w:spacing w:line="248" w:lineRule="auto"/>
        <w:rPr>
          <w:b/>
          <w:sz w:val="20"/>
        </w:rPr>
      </w:pPr>
      <w:r>
        <w:rPr>
          <w:sz w:val="20"/>
        </w:rPr>
        <w:t xml:space="preserve">HOUSTON, October 30, 2020 – Shell Midstream Partners, L.P. (NYSE: SHLX) (the “Partnership” or “Shell Midstream Partners”) reported net income attributable to the Partnership of $135 million for the third quarter of 2020, which equated to $0.30 per diluted common limited partner unit. Shell Midstream Partners also generated adjusted earnings before interest, income taxes, depreciation and amortization attributable to the Partnership of $191 million. </w:t>
      </w:r>
    </w:p>
    <w:p w14:paraId="7962D255" w14:textId="77777777" w:rsidR="00A77B3E" w:rsidRDefault="00A77B3E">
      <w:pPr>
        <w:spacing w:line="248" w:lineRule="auto"/>
        <w:rPr>
          <w:b/>
          <w:sz w:val="20"/>
        </w:rPr>
      </w:pPr>
    </w:p>
    <w:p w14:paraId="5F2BFD90" w14:textId="77777777" w:rsidR="00A77B3E" w:rsidRDefault="00BD0E60">
      <w:pPr>
        <w:spacing w:line="248" w:lineRule="auto"/>
        <w:rPr>
          <w:b/>
          <w:sz w:val="20"/>
        </w:rPr>
      </w:pPr>
      <w:r>
        <w:rPr>
          <w:sz w:val="20"/>
        </w:rPr>
        <w:t xml:space="preserve">Total cash available for distribution was $163 million, consistent with the prior quarter. The Partnership dealt with multiple storms in the Gulf of Mexico, planned turnaround activities and the continuing effects of the COVID-19 pandemic. The financial results were negatively impacted by lower offshore throughput in the Gulf of Mexico as we experienced multiple producer shut-ins, as well as by the ongoing effects of the COVID-19 pandemic and its impact on our onshore systems. However, these impacts were largely offset by increased distributions from certain of our investments. </w:t>
      </w:r>
    </w:p>
    <w:p w14:paraId="35AB72BA" w14:textId="77777777" w:rsidR="00A77B3E" w:rsidRDefault="00A77B3E">
      <w:pPr>
        <w:spacing w:line="248" w:lineRule="auto"/>
        <w:rPr>
          <w:b/>
          <w:sz w:val="20"/>
        </w:rPr>
      </w:pPr>
    </w:p>
    <w:p w14:paraId="0D5D1540" w14:textId="77777777" w:rsidR="00A77B3E" w:rsidRDefault="00BD0E60">
      <w:pPr>
        <w:spacing w:line="238" w:lineRule="auto"/>
        <w:rPr>
          <w:b/>
          <w:sz w:val="20"/>
        </w:rPr>
      </w:pPr>
      <w:r>
        <w:rPr>
          <w:sz w:val="20"/>
        </w:rPr>
        <w:t>“We had solid performance this quarter despite the continued effects from COVID-19 and an active hurricane season,” said Kevin Nichols, CEO, Shell Midstream Partners GP LLC. “Our operational capabilities and resilient portfolio allowed us to continue delivering value in a challenging macro environment. We expect to see continued volatility and uncertainty, but we remain committed to our customers and investors for reliable delivery while maintaining the safety and protection of our employees and assets.”</w:t>
      </w:r>
    </w:p>
    <w:p w14:paraId="4704FD42" w14:textId="77777777" w:rsidR="00A77B3E" w:rsidRDefault="00A77B3E">
      <w:pPr>
        <w:spacing w:line="248" w:lineRule="auto"/>
        <w:rPr>
          <w:b/>
          <w:sz w:val="20"/>
        </w:rPr>
      </w:pPr>
    </w:p>
    <w:p w14:paraId="2574B1FB" w14:textId="77777777" w:rsidR="00A77B3E" w:rsidRDefault="00BD0E60">
      <w:pPr>
        <w:spacing w:line="248" w:lineRule="auto"/>
        <w:rPr>
          <w:b/>
          <w:sz w:val="20"/>
        </w:rPr>
      </w:pPr>
      <w:r>
        <w:rPr>
          <w:sz w:val="20"/>
        </w:rPr>
        <w:t>The Board of Directors of our general partner previously declared a cash distribution of $0.46 per limited partner common unit for the third quarter of 2020. This distribution was consistent with the prior quarter, and in line with previously disclosed guidance.</w:t>
      </w:r>
    </w:p>
    <w:p w14:paraId="08DCBE55" w14:textId="77777777" w:rsidR="00A77B3E" w:rsidRDefault="00A77B3E">
      <w:pPr>
        <w:spacing w:line="248" w:lineRule="auto"/>
        <w:jc w:val="both"/>
        <w:rPr>
          <w:b/>
          <w:sz w:val="20"/>
        </w:rPr>
      </w:pPr>
    </w:p>
    <w:p w14:paraId="177E75AF" w14:textId="77777777" w:rsidR="00A77B3E" w:rsidRDefault="00BD0E60">
      <w:pPr>
        <w:keepNext/>
        <w:pageBreakBefore/>
        <w:spacing w:line="248" w:lineRule="auto"/>
        <w:rPr>
          <w:b/>
          <w:sz w:val="20"/>
        </w:rPr>
      </w:pPr>
      <w:r>
        <w:rPr>
          <w:b/>
          <w:sz w:val="20"/>
        </w:rPr>
        <w:lastRenderedPageBreak/>
        <w:t>FINANCIAL HIGHLIGHTS</w:t>
      </w:r>
    </w:p>
    <w:p w14:paraId="697573E4" w14:textId="77777777" w:rsidR="00A77B3E" w:rsidRDefault="00A77B3E">
      <w:pPr>
        <w:keepNext/>
        <w:spacing w:line="248" w:lineRule="auto"/>
        <w:rPr>
          <w:b/>
          <w:sz w:val="20"/>
        </w:rPr>
      </w:pPr>
    </w:p>
    <w:p w14:paraId="59EBF04E" w14:textId="77777777" w:rsidR="00A77B3E" w:rsidRDefault="00BD0E60" w:rsidP="00BD0E60">
      <w:pPr>
        <w:keepLines/>
        <w:widowControl w:val="0"/>
        <w:numPr>
          <w:ilvl w:val="0"/>
          <w:numId w:val="2"/>
        </w:numPr>
        <w:spacing w:line="248" w:lineRule="auto"/>
        <w:ind w:left="360"/>
        <w:rPr>
          <w:b/>
          <w:sz w:val="20"/>
        </w:rPr>
      </w:pPr>
      <w:r>
        <w:rPr>
          <w:sz w:val="20"/>
        </w:rPr>
        <w:t>Net income attributable to the Partnership was $135 million, compared to $141 million for the prior quarter.</w:t>
      </w:r>
    </w:p>
    <w:p w14:paraId="4B6ED18D" w14:textId="77777777" w:rsidR="00A77B3E" w:rsidRDefault="00BD0E60" w:rsidP="00BD0E60">
      <w:pPr>
        <w:keepLines/>
        <w:widowControl w:val="0"/>
        <w:numPr>
          <w:ilvl w:val="0"/>
          <w:numId w:val="2"/>
        </w:numPr>
        <w:spacing w:line="248" w:lineRule="auto"/>
        <w:ind w:left="360"/>
        <w:rPr>
          <w:b/>
          <w:sz w:val="20"/>
        </w:rPr>
      </w:pPr>
      <w:r>
        <w:rPr>
          <w:sz w:val="20"/>
        </w:rPr>
        <w:t>Net cash provided by operating activities was $149 million, compared to $192 million for the prior quarter.</w:t>
      </w:r>
    </w:p>
    <w:p w14:paraId="7569F9AB" w14:textId="77777777" w:rsidR="00A77B3E" w:rsidRDefault="00BD0E60" w:rsidP="00BD0E60">
      <w:pPr>
        <w:keepLines/>
        <w:widowControl w:val="0"/>
        <w:numPr>
          <w:ilvl w:val="0"/>
          <w:numId w:val="2"/>
        </w:numPr>
        <w:spacing w:line="248" w:lineRule="auto"/>
        <w:ind w:left="360"/>
        <w:rPr>
          <w:b/>
          <w:sz w:val="20"/>
        </w:rPr>
      </w:pPr>
      <w:r>
        <w:rPr>
          <w:sz w:val="20"/>
        </w:rPr>
        <w:t xml:space="preserve">Cash available for distribution was $163 million, consistent with the prior quarter, as the Partnership dealt with the continuing effects of the COVID-19 pandemic and multiple storms in the Gulf of Mexico. However, these impacts were largely offset by increased distributions from certain of our investments. </w:t>
      </w:r>
    </w:p>
    <w:p w14:paraId="7D9C0117" w14:textId="77777777" w:rsidR="00A77B3E" w:rsidRDefault="00BD0E60" w:rsidP="00BD0E60">
      <w:pPr>
        <w:keepLines/>
        <w:widowControl w:val="0"/>
        <w:numPr>
          <w:ilvl w:val="0"/>
          <w:numId w:val="2"/>
        </w:numPr>
        <w:spacing w:line="248" w:lineRule="auto"/>
        <w:ind w:left="360"/>
        <w:rPr>
          <w:b/>
          <w:sz w:val="20"/>
        </w:rPr>
      </w:pPr>
      <w:r>
        <w:rPr>
          <w:sz w:val="20"/>
        </w:rPr>
        <w:t xml:space="preserve">Total cash distribution declared to common unitholders was $161 million, resulting in a coverage ratio of 1.0x. </w:t>
      </w:r>
    </w:p>
    <w:p w14:paraId="64E2C5D1" w14:textId="77777777" w:rsidR="00A77B3E" w:rsidRDefault="00BD0E60" w:rsidP="00BD0E60">
      <w:pPr>
        <w:keepLines/>
        <w:widowControl w:val="0"/>
        <w:numPr>
          <w:ilvl w:val="0"/>
          <w:numId w:val="2"/>
        </w:numPr>
        <w:spacing w:line="248" w:lineRule="auto"/>
        <w:ind w:left="360"/>
        <w:rPr>
          <w:b/>
          <w:sz w:val="20"/>
        </w:rPr>
      </w:pPr>
      <w:r>
        <w:rPr>
          <w:sz w:val="20"/>
        </w:rPr>
        <w:t xml:space="preserve">Adjusted EBITDA attributable to the Partnership was $191 million, compared to $192 million for the prior quarter. </w:t>
      </w:r>
    </w:p>
    <w:p w14:paraId="6ACBC382" w14:textId="77777777" w:rsidR="00A77B3E" w:rsidRDefault="00BD0E60" w:rsidP="00BD0E60">
      <w:pPr>
        <w:keepLines/>
        <w:widowControl w:val="0"/>
        <w:numPr>
          <w:ilvl w:val="0"/>
          <w:numId w:val="2"/>
        </w:numPr>
        <w:spacing w:line="248" w:lineRule="auto"/>
        <w:ind w:left="360"/>
        <w:rPr>
          <w:b/>
          <w:sz w:val="20"/>
        </w:rPr>
      </w:pPr>
      <w:r>
        <w:rPr>
          <w:sz w:val="20"/>
        </w:rPr>
        <w:t xml:space="preserve">As of September 30, 2020, the Partnership had $329 million of consolidated cash and cash equivalents on hand. </w:t>
      </w:r>
    </w:p>
    <w:p w14:paraId="2618313D" w14:textId="77777777" w:rsidR="00A77B3E" w:rsidRDefault="00BD0E60" w:rsidP="00BD0E60">
      <w:pPr>
        <w:keepLines/>
        <w:widowControl w:val="0"/>
        <w:numPr>
          <w:ilvl w:val="0"/>
          <w:numId w:val="2"/>
        </w:numPr>
        <w:spacing w:line="248" w:lineRule="auto"/>
        <w:ind w:left="360"/>
        <w:rPr>
          <w:b/>
          <w:sz w:val="20"/>
        </w:rPr>
      </w:pPr>
      <w:r>
        <w:rPr>
          <w:sz w:val="20"/>
        </w:rPr>
        <w:t>As of September 30, 2020, the Partnership had total debt of $2.7 billion, equating to 3.5x Debt to annualized Q3 2020 Adjusted EBITDA. Current debt levels are well within our targeted range and provide flexibility to the Partnership.</w:t>
      </w:r>
    </w:p>
    <w:p w14:paraId="0925B0EE" w14:textId="77777777" w:rsidR="00A77B3E" w:rsidRDefault="00A77B3E">
      <w:pPr>
        <w:keepLines/>
        <w:widowControl w:val="0"/>
        <w:spacing w:line="248" w:lineRule="auto"/>
        <w:ind w:left="-360"/>
        <w:jc w:val="both"/>
        <w:rPr>
          <w:b/>
          <w:sz w:val="20"/>
        </w:rPr>
      </w:pPr>
    </w:p>
    <w:p w14:paraId="06013DAE" w14:textId="77777777" w:rsidR="00A77B3E" w:rsidRDefault="00BD0E60">
      <w:pPr>
        <w:keepLines/>
        <w:widowControl w:val="0"/>
        <w:spacing w:line="248" w:lineRule="auto"/>
        <w:rPr>
          <w:b/>
          <w:sz w:val="20"/>
        </w:rPr>
      </w:pPr>
      <w:r>
        <w:rPr>
          <w:i/>
          <w:sz w:val="20"/>
        </w:rPr>
        <w:t xml:space="preserve">Cash available for distribution and Adjusted EBITDA are non-GAAP supplemental financial measures. See the reconciliation to their most comparable GAAP measures later in this press release. </w:t>
      </w:r>
    </w:p>
    <w:p w14:paraId="78A7FDEB" w14:textId="77777777" w:rsidR="00A77B3E" w:rsidRDefault="00A77B3E">
      <w:pPr>
        <w:keepLines/>
        <w:widowControl w:val="0"/>
        <w:spacing w:line="248" w:lineRule="auto"/>
        <w:ind w:left="360"/>
        <w:rPr>
          <w:b/>
          <w:sz w:val="20"/>
        </w:rPr>
      </w:pPr>
    </w:p>
    <w:p w14:paraId="5FC52C09" w14:textId="77777777" w:rsidR="00A77B3E" w:rsidRDefault="00BD0E60">
      <w:pPr>
        <w:keepNext/>
        <w:spacing w:line="248" w:lineRule="auto"/>
        <w:rPr>
          <w:b/>
          <w:sz w:val="20"/>
        </w:rPr>
      </w:pPr>
      <w:r>
        <w:rPr>
          <w:b/>
          <w:sz w:val="20"/>
        </w:rPr>
        <w:t>ASSET HIGHLIGHTS</w:t>
      </w:r>
    </w:p>
    <w:p w14:paraId="2A37454A" w14:textId="77777777" w:rsidR="00A77B3E" w:rsidRDefault="00A77B3E">
      <w:pPr>
        <w:keepNext/>
        <w:spacing w:line="248" w:lineRule="auto"/>
        <w:rPr>
          <w:b/>
          <w:sz w:val="20"/>
        </w:rPr>
      </w:pPr>
    </w:p>
    <w:p w14:paraId="2569F091" w14:textId="77777777" w:rsidR="00A77B3E" w:rsidRDefault="00BD0E60">
      <w:pPr>
        <w:keepLines/>
        <w:widowControl w:val="0"/>
        <w:spacing w:line="248" w:lineRule="auto"/>
        <w:rPr>
          <w:b/>
          <w:sz w:val="20"/>
        </w:rPr>
      </w:pPr>
      <w:r>
        <w:rPr>
          <w:sz w:val="20"/>
        </w:rPr>
        <w:t xml:space="preserve">Significant Onshore Pipeline Transportation: </w:t>
      </w:r>
    </w:p>
    <w:p w14:paraId="6C3EA57E" w14:textId="77777777" w:rsidR="00A77B3E" w:rsidRDefault="00BD0E60" w:rsidP="00BD0E60">
      <w:pPr>
        <w:keepLines/>
        <w:widowControl w:val="0"/>
        <w:numPr>
          <w:ilvl w:val="1"/>
          <w:numId w:val="3"/>
        </w:numPr>
        <w:spacing w:line="248" w:lineRule="auto"/>
        <w:ind w:left="1080"/>
        <w:rPr>
          <w:b/>
          <w:sz w:val="20"/>
        </w:rPr>
      </w:pPr>
      <w:r>
        <w:rPr>
          <w:sz w:val="20"/>
        </w:rPr>
        <w:t xml:space="preserve">Zydeco - Mainline volumes were 524 </w:t>
      </w:r>
      <w:proofErr w:type="spellStart"/>
      <w:r>
        <w:rPr>
          <w:sz w:val="20"/>
        </w:rPr>
        <w:t>kbpd</w:t>
      </w:r>
      <w:proofErr w:type="spellEnd"/>
      <w:r>
        <w:rPr>
          <w:sz w:val="20"/>
        </w:rPr>
        <w:t xml:space="preserve"> in the current quarter, compared to 533 </w:t>
      </w:r>
      <w:proofErr w:type="spellStart"/>
      <w:r>
        <w:rPr>
          <w:sz w:val="20"/>
        </w:rPr>
        <w:t>kbpd</w:t>
      </w:r>
      <w:proofErr w:type="spellEnd"/>
      <w:r>
        <w:rPr>
          <w:sz w:val="20"/>
        </w:rPr>
        <w:t xml:space="preserve"> in the prior quarter, primarily due to reduced offshore volumes related to producer shut-ins and continued lower demand from the Louisiana refining complex.</w:t>
      </w:r>
    </w:p>
    <w:p w14:paraId="3A5FC32B" w14:textId="77777777" w:rsidR="00A77B3E" w:rsidRDefault="00A77B3E">
      <w:pPr>
        <w:keepLines/>
        <w:widowControl w:val="0"/>
        <w:spacing w:line="248" w:lineRule="auto"/>
        <w:rPr>
          <w:b/>
          <w:sz w:val="20"/>
          <w:shd w:val="clear" w:color="auto" w:fill="FFFF00"/>
        </w:rPr>
      </w:pPr>
    </w:p>
    <w:p w14:paraId="06CF0DC9" w14:textId="77777777" w:rsidR="00A77B3E" w:rsidRDefault="00BD0E60">
      <w:pPr>
        <w:keepLines/>
        <w:widowControl w:val="0"/>
        <w:spacing w:line="248" w:lineRule="auto"/>
        <w:jc w:val="both"/>
        <w:rPr>
          <w:b/>
          <w:sz w:val="20"/>
        </w:rPr>
      </w:pPr>
      <w:r>
        <w:rPr>
          <w:sz w:val="20"/>
        </w:rPr>
        <w:t xml:space="preserve">Significant Offshore Pipeline Transportation: </w:t>
      </w:r>
    </w:p>
    <w:p w14:paraId="50507E3B" w14:textId="77777777" w:rsidR="00A77B3E" w:rsidRDefault="00BD0E60" w:rsidP="00BD0E60">
      <w:pPr>
        <w:keepLines/>
        <w:widowControl w:val="0"/>
        <w:numPr>
          <w:ilvl w:val="0"/>
          <w:numId w:val="4"/>
        </w:numPr>
        <w:spacing w:line="248" w:lineRule="auto"/>
        <w:ind w:left="360"/>
        <w:rPr>
          <w:b/>
          <w:sz w:val="20"/>
        </w:rPr>
      </w:pPr>
      <w:r>
        <w:rPr>
          <w:sz w:val="20"/>
        </w:rPr>
        <w:t xml:space="preserve">During the quarter, the Partnership saw a temporary reduction in volumes across the Gulf of Mexico as producers shut-in offshore production several times due to storms. </w:t>
      </w:r>
    </w:p>
    <w:p w14:paraId="3B078FB3" w14:textId="77777777" w:rsidR="00A77B3E" w:rsidRDefault="00BD0E60" w:rsidP="00BD0E60">
      <w:pPr>
        <w:keepLines/>
        <w:widowControl w:val="0"/>
        <w:numPr>
          <w:ilvl w:val="0"/>
          <w:numId w:val="6"/>
        </w:numPr>
        <w:spacing w:line="248" w:lineRule="auto"/>
        <w:ind w:left="1080"/>
        <w:rPr>
          <w:b/>
          <w:sz w:val="20"/>
        </w:rPr>
      </w:pPr>
      <w:r>
        <w:rPr>
          <w:sz w:val="20"/>
        </w:rPr>
        <w:t xml:space="preserve">Mars - Volumes were 479 </w:t>
      </w:r>
      <w:proofErr w:type="spellStart"/>
      <w:r>
        <w:rPr>
          <w:sz w:val="20"/>
        </w:rPr>
        <w:t>kbpd</w:t>
      </w:r>
      <w:proofErr w:type="spellEnd"/>
      <w:r>
        <w:rPr>
          <w:sz w:val="20"/>
        </w:rPr>
        <w:t xml:space="preserve"> compared to 501 </w:t>
      </w:r>
      <w:proofErr w:type="spellStart"/>
      <w:r>
        <w:rPr>
          <w:sz w:val="20"/>
        </w:rPr>
        <w:t>kbpd</w:t>
      </w:r>
      <w:proofErr w:type="spellEnd"/>
      <w:r>
        <w:rPr>
          <w:sz w:val="20"/>
        </w:rPr>
        <w:t xml:space="preserve"> in the prior quarter.</w:t>
      </w:r>
    </w:p>
    <w:p w14:paraId="2C209FF1" w14:textId="77777777" w:rsidR="00A77B3E" w:rsidRDefault="00BD0E60" w:rsidP="00BD0E60">
      <w:pPr>
        <w:keepLines/>
        <w:widowControl w:val="0"/>
        <w:numPr>
          <w:ilvl w:val="0"/>
          <w:numId w:val="6"/>
        </w:numPr>
        <w:spacing w:line="248" w:lineRule="auto"/>
        <w:ind w:left="1080"/>
        <w:rPr>
          <w:b/>
          <w:sz w:val="20"/>
        </w:rPr>
      </w:pPr>
      <w:r>
        <w:rPr>
          <w:sz w:val="20"/>
        </w:rPr>
        <w:t xml:space="preserve">Amberjack - Volumes were 295 </w:t>
      </w:r>
      <w:proofErr w:type="spellStart"/>
      <w:r>
        <w:rPr>
          <w:sz w:val="20"/>
        </w:rPr>
        <w:t>kbpd</w:t>
      </w:r>
      <w:proofErr w:type="spellEnd"/>
      <w:r>
        <w:rPr>
          <w:sz w:val="20"/>
        </w:rPr>
        <w:t xml:space="preserve"> compared to 350 </w:t>
      </w:r>
      <w:proofErr w:type="spellStart"/>
      <w:r>
        <w:rPr>
          <w:sz w:val="20"/>
        </w:rPr>
        <w:t>kbpd</w:t>
      </w:r>
      <w:proofErr w:type="spellEnd"/>
      <w:r>
        <w:rPr>
          <w:sz w:val="20"/>
        </w:rPr>
        <w:t xml:space="preserve"> in the prior quarter.</w:t>
      </w:r>
    </w:p>
    <w:p w14:paraId="7AA4B930" w14:textId="77777777" w:rsidR="00A77B3E" w:rsidRDefault="00BD0E60" w:rsidP="00BD0E60">
      <w:pPr>
        <w:keepLines/>
        <w:widowControl w:val="0"/>
        <w:numPr>
          <w:ilvl w:val="0"/>
          <w:numId w:val="6"/>
        </w:numPr>
        <w:spacing w:line="248" w:lineRule="auto"/>
        <w:ind w:left="1080"/>
        <w:rPr>
          <w:b/>
          <w:sz w:val="20"/>
        </w:rPr>
      </w:pPr>
      <w:r>
        <w:rPr>
          <w:sz w:val="20"/>
        </w:rPr>
        <w:t xml:space="preserve">Eastern Corridor - Volumes were 261 </w:t>
      </w:r>
      <w:proofErr w:type="spellStart"/>
      <w:r>
        <w:rPr>
          <w:sz w:val="20"/>
        </w:rPr>
        <w:t>kbpd</w:t>
      </w:r>
      <w:proofErr w:type="spellEnd"/>
      <w:r>
        <w:rPr>
          <w:sz w:val="20"/>
        </w:rPr>
        <w:t xml:space="preserve"> compared to 382 </w:t>
      </w:r>
      <w:proofErr w:type="spellStart"/>
      <w:r>
        <w:rPr>
          <w:sz w:val="20"/>
        </w:rPr>
        <w:t>kbpd</w:t>
      </w:r>
      <w:proofErr w:type="spellEnd"/>
      <w:r>
        <w:rPr>
          <w:sz w:val="20"/>
        </w:rPr>
        <w:t xml:space="preserve"> in the prior quarter.</w:t>
      </w:r>
    </w:p>
    <w:p w14:paraId="1C616212" w14:textId="77777777" w:rsidR="00A77B3E" w:rsidRDefault="00BD0E60" w:rsidP="00BD0E60">
      <w:pPr>
        <w:keepLines/>
        <w:widowControl w:val="0"/>
        <w:numPr>
          <w:ilvl w:val="0"/>
          <w:numId w:val="7"/>
        </w:numPr>
        <w:spacing w:line="238" w:lineRule="auto"/>
        <w:ind w:left="360"/>
        <w:rPr>
          <w:b/>
          <w:sz w:val="20"/>
        </w:rPr>
      </w:pPr>
      <w:r>
        <w:rPr>
          <w:sz w:val="20"/>
        </w:rPr>
        <w:t>Our assets sustained no material damage, and volumes returned to pre-storm levels once the producers restarted production.</w:t>
      </w:r>
    </w:p>
    <w:p w14:paraId="5EFC1B4A" w14:textId="77777777" w:rsidR="00A77B3E" w:rsidRDefault="00A77B3E">
      <w:pPr>
        <w:keepLines/>
        <w:widowControl w:val="0"/>
        <w:spacing w:line="238" w:lineRule="auto"/>
        <w:ind w:left="-360"/>
        <w:rPr>
          <w:b/>
          <w:sz w:val="20"/>
        </w:rPr>
      </w:pPr>
    </w:p>
    <w:p w14:paraId="08AFBC0E" w14:textId="77777777" w:rsidR="00A77B3E" w:rsidRDefault="00BD0E60">
      <w:pPr>
        <w:keepLines/>
        <w:widowControl w:val="0"/>
        <w:spacing w:line="248" w:lineRule="auto"/>
        <w:ind w:left="-360" w:firstLine="360"/>
        <w:rPr>
          <w:b/>
          <w:sz w:val="20"/>
        </w:rPr>
      </w:pPr>
      <w:r>
        <w:rPr>
          <w:b/>
          <w:sz w:val="20"/>
        </w:rPr>
        <w:t>2020 OUTLOOK</w:t>
      </w:r>
    </w:p>
    <w:p w14:paraId="58CE1437" w14:textId="77777777" w:rsidR="00A77B3E" w:rsidRDefault="00A77B3E">
      <w:pPr>
        <w:keepLines/>
        <w:widowControl w:val="0"/>
        <w:spacing w:line="248" w:lineRule="auto"/>
        <w:ind w:left="-360" w:firstLine="360"/>
        <w:rPr>
          <w:b/>
          <w:sz w:val="20"/>
        </w:rPr>
      </w:pPr>
    </w:p>
    <w:p w14:paraId="74EA657B" w14:textId="77777777" w:rsidR="00A77B3E" w:rsidRDefault="00BD0E60" w:rsidP="00BD0E60">
      <w:pPr>
        <w:keepLines/>
        <w:widowControl w:val="0"/>
        <w:numPr>
          <w:ilvl w:val="0"/>
          <w:numId w:val="8"/>
        </w:numPr>
        <w:spacing w:line="248" w:lineRule="auto"/>
        <w:ind w:left="360"/>
        <w:rPr>
          <w:b/>
          <w:sz w:val="20"/>
        </w:rPr>
      </w:pPr>
      <w:r>
        <w:rPr>
          <w:sz w:val="20"/>
        </w:rPr>
        <w:t>Expect an impact to Net Income and Cash Available For Distribution of approximately $15 million in the fourth quarter related to Hurricanes Delta and Zeta, as well as planned producer turnarounds that were delayed from earlier in the year.</w:t>
      </w:r>
    </w:p>
    <w:p w14:paraId="5F442847" w14:textId="77777777" w:rsidR="00A77B3E" w:rsidRDefault="00BD0E60" w:rsidP="00BD0E60">
      <w:pPr>
        <w:keepLines/>
        <w:widowControl w:val="0"/>
        <w:numPr>
          <w:ilvl w:val="0"/>
          <w:numId w:val="8"/>
        </w:numPr>
        <w:spacing w:line="248" w:lineRule="auto"/>
        <w:ind w:left="360"/>
        <w:rPr>
          <w:b/>
          <w:sz w:val="20"/>
        </w:rPr>
      </w:pPr>
      <w:r>
        <w:rPr>
          <w:sz w:val="20"/>
        </w:rPr>
        <w:t>Acknowledging the continuing impacts of the global COVID-19 pandemic and lack of clarity on crude and finished products supply and demand in the near-term, the Partnership’s Board of Directors will monitor the business environment and make decisions regarding future distributions on a quarter-by-quarter basis.</w:t>
      </w:r>
      <w:r>
        <w:t xml:space="preserve"> </w:t>
      </w:r>
    </w:p>
    <w:p w14:paraId="54CA0ABA" w14:textId="77777777" w:rsidR="00A77B3E" w:rsidRDefault="00BD0E60" w:rsidP="00BD0E60">
      <w:pPr>
        <w:keepLines/>
        <w:widowControl w:val="0"/>
        <w:numPr>
          <w:ilvl w:val="0"/>
          <w:numId w:val="8"/>
        </w:numPr>
        <w:spacing w:line="248" w:lineRule="auto"/>
        <w:ind w:left="360"/>
        <w:rPr>
          <w:b/>
        </w:rPr>
      </w:pPr>
      <w:r>
        <w:rPr>
          <w:sz w:val="20"/>
        </w:rPr>
        <w:t>The Partnership has approximately $1.2 billion in available liquidity, which is a combination of cash and cash equivalents and availability under credit facilities.</w:t>
      </w:r>
    </w:p>
    <w:p w14:paraId="660A60BA" w14:textId="77777777" w:rsidR="00A77B3E" w:rsidRDefault="00A77B3E">
      <w:pPr>
        <w:spacing w:line="238" w:lineRule="auto"/>
        <w:ind w:left="-360"/>
        <w:rPr>
          <w:b/>
          <w:sz w:val="20"/>
          <w:shd w:val="clear" w:color="auto" w:fill="FFFFFF"/>
        </w:rPr>
      </w:pPr>
    </w:p>
    <w:p w14:paraId="372DB3A3" w14:textId="77777777" w:rsidR="00A77B3E" w:rsidRDefault="00A77B3E">
      <w:pPr>
        <w:spacing w:line="248" w:lineRule="auto"/>
        <w:ind w:left="-360"/>
        <w:rPr>
          <w:b/>
          <w:sz w:val="20"/>
          <w:shd w:val="clear" w:color="auto" w:fill="FFFF00"/>
        </w:rPr>
      </w:pPr>
    </w:p>
    <w:p w14:paraId="6F51358D" w14:textId="77777777" w:rsidR="00A77B3E" w:rsidRDefault="00BD0E60">
      <w:pPr>
        <w:spacing w:line="248" w:lineRule="auto"/>
        <w:jc w:val="both"/>
        <w:rPr>
          <w:b/>
          <w:sz w:val="20"/>
          <w:shd w:val="clear" w:color="auto" w:fill="FFFF00"/>
        </w:rPr>
      </w:pPr>
      <w:r>
        <w:rPr>
          <w:b/>
          <w:sz w:val="20"/>
        </w:rPr>
        <w:t xml:space="preserve">ABOUT SHELL MIDSTREAM PARTNERS, L.P.  </w:t>
      </w:r>
    </w:p>
    <w:p w14:paraId="19804B0D" w14:textId="77777777" w:rsidR="00A77B3E" w:rsidRDefault="00A77B3E">
      <w:pPr>
        <w:spacing w:line="248" w:lineRule="auto"/>
        <w:ind w:left="-360"/>
        <w:jc w:val="both"/>
        <w:rPr>
          <w:b/>
          <w:sz w:val="20"/>
        </w:rPr>
      </w:pPr>
    </w:p>
    <w:p w14:paraId="69CBE9B1" w14:textId="77777777" w:rsidR="00A77B3E" w:rsidRDefault="00BD0E60">
      <w:pPr>
        <w:keepNext/>
        <w:widowControl w:val="0"/>
        <w:spacing w:line="248" w:lineRule="auto"/>
        <w:rPr>
          <w:rFonts w:ascii="Calibri" w:eastAsia="Calibri" w:hAnsi="Calibri" w:cs="Calibri"/>
          <w:b/>
          <w:sz w:val="22"/>
        </w:rPr>
      </w:pPr>
      <w:r>
        <w:rPr>
          <w:color w:val="333333"/>
          <w:sz w:val="20"/>
        </w:rPr>
        <w:t>Shell Midstream Partners, L.P., headquartered in Houston, Texas, owns, operates, develops and acquires pipelines and other midstream and logistics assets. The Partnership’s assets include interests in entities that own (a) crude oil and refined products pipelines and terminals that serve as key infrastructure to transport onshore and offshore crude oil production to Gulf Coast and Midwest refining markets</w:t>
      </w:r>
      <w:r>
        <w:rPr>
          <w:color w:val="FF0000"/>
          <w:sz w:val="20"/>
        </w:rPr>
        <w:t xml:space="preserve"> </w:t>
      </w:r>
      <w:r>
        <w:rPr>
          <w:sz w:val="20"/>
        </w:rPr>
        <w:t xml:space="preserve">and deliver refined products from those markets to major demand centers and (b) storage tanks and financing receivables that are secured by pipelines, storage tanks, docks, truck and rail racks and other infrastructure used to stage and transport intermediate and finished products. </w:t>
      </w:r>
      <w:r>
        <w:rPr>
          <w:color w:val="333333"/>
          <w:sz w:val="20"/>
        </w:rPr>
        <w:t>The Partnership’s assets also include interests in entities that own natural gas and refinery gas pipelines that transport offshore natural gas to market hubs and deliver refinery gas from refineries and plants to chemical sites along the Gulf Coast</w:t>
      </w:r>
      <w:r>
        <w:rPr>
          <w:color w:val="333333"/>
        </w:rPr>
        <w:t xml:space="preserve">. </w:t>
      </w:r>
    </w:p>
    <w:p w14:paraId="4ED11F70" w14:textId="77777777" w:rsidR="00A77B3E" w:rsidRDefault="00A77B3E">
      <w:pPr>
        <w:keepNext/>
        <w:widowControl w:val="0"/>
        <w:spacing w:line="248" w:lineRule="auto"/>
        <w:rPr>
          <w:b/>
          <w:color w:val="333333"/>
        </w:rPr>
      </w:pPr>
    </w:p>
    <w:p w14:paraId="47AFFA5B" w14:textId="77777777" w:rsidR="00A77B3E" w:rsidRDefault="00BD0E60">
      <w:pPr>
        <w:widowControl w:val="0"/>
        <w:spacing w:line="248" w:lineRule="auto"/>
        <w:rPr>
          <w:b/>
          <w:sz w:val="20"/>
        </w:rPr>
      </w:pPr>
      <w:r>
        <w:rPr>
          <w:sz w:val="20"/>
        </w:rPr>
        <w:t>For more information on Shell Midstream Partners and the assets owned by the Partnership, please visit</w:t>
      </w:r>
    </w:p>
    <w:p w14:paraId="452459C3" w14:textId="77777777" w:rsidR="00A77B3E" w:rsidRDefault="00BD0E60">
      <w:pPr>
        <w:spacing w:line="248" w:lineRule="auto"/>
        <w:rPr>
          <w:b/>
          <w:sz w:val="20"/>
        </w:rPr>
      </w:pPr>
      <w:r>
        <w:rPr>
          <w:sz w:val="20"/>
        </w:rPr>
        <w:t xml:space="preserve">www.shellmidstreampartners.com. </w:t>
      </w:r>
    </w:p>
    <w:p w14:paraId="1E946C7A" w14:textId="77777777" w:rsidR="00A77B3E" w:rsidRDefault="00BD0E60">
      <w:pPr>
        <w:keepNext/>
        <w:spacing w:before="360" w:line="248" w:lineRule="auto"/>
        <w:rPr>
          <w:b/>
          <w:sz w:val="20"/>
        </w:rPr>
      </w:pPr>
      <w:r>
        <w:rPr>
          <w:b/>
          <w:sz w:val="20"/>
        </w:rPr>
        <w:lastRenderedPageBreak/>
        <w:t>FORTHCOMING EVENTS</w:t>
      </w:r>
    </w:p>
    <w:p w14:paraId="3F12479B" w14:textId="77777777" w:rsidR="00A77B3E" w:rsidRDefault="00BD0E60">
      <w:pPr>
        <w:keepNext/>
        <w:spacing w:before="120" w:line="248" w:lineRule="auto"/>
        <w:rPr>
          <w:b/>
          <w:sz w:val="20"/>
        </w:rPr>
      </w:pPr>
      <w:r>
        <w:rPr>
          <w:sz w:val="20"/>
        </w:rPr>
        <w:t xml:space="preserve">Shell Midstream Partners, L.P. will hold a webcast at 10:00am CT today to discuss the reported results and provide an update on Partnership operations. Interested parties may listen to the conference call on Shell Midstream Partners, L.P.’s website at </w:t>
      </w:r>
      <w:r>
        <w:rPr>
          <w:sz w:val="20"/>
          <w:u w:val="single"/>
        </w:rPr>
        <w:t>www.shellmidstreampartners.com</w:t>
      </w:r>
      <w:r>
        <w:rPr>
          <w:sz w:val="20"/>
        </w:rPr>
        <w:t xml:space="preserve"> by clicking on the “2020 Third Quarter Financial Results Call” link, found under the “Events and Conferences” section. A replay of the conference call will be available following the live webcast.</w:t>
      </w:r>
    </w:p>
    <w:p w14:paraId="3B51E37E" w14:textId="77777777" w:rsidR="00A77B3E" w:rsidRDefault="00A77B3E">
      <w:pPr>
        <w:keepNext/>
        <w:spacing w:before="120" w:line="248" w:lineRule="auto"/>
        <w:rPr>
          <w:b/>
          <w:sz w:val="20"/>
        </w:rPr>
        <w:sectPr w:rsidR="00A77B3E">
          <w:headerReference w:type="default" r:id="rId12"/>
          <w:footerReference w:type="default" r:id="rId13"/>
          <w:type w:val="continuous"/>
          <w:pgSz w:w="12240" w:h="15840"/>
          <w:pgMar w:top="855" w:right="990" w:bottom="855" w:left="990" w:header="270" w:footer="270" w:gutter="0"/>
          <w:pgNumType w:start="1"/>
          <w:cols w:space="708"/>
          <w:docGrid w:linePitch="360"/>
        </w:sectPr>
      </w:pPr>
    </w:p>
    <w:p w14:paraId="4F913EFA" w14:textId="77777777" w:rsidR="002E0961" w:rsidRDefault="00BD0E60">
      <w:pPr>
        <w:keepNext/>
        <w:spacing w:line="248" w:lineRule="auto"/>
        <w:outlineLvl w:val="0"/>
        <w:rPr>
          <w:b/>
          <w:sz w:val="22"/>
        </w:rPr>
      </w:pPr>
      <w:bookmarkStart w:id="1" w:name="Section2"/>
      <w:bookmarkEnd w:id="1"/>
      <w:r>
        <w:rPr>
          <w:b/>
          <w:sz w:val="22"/>
        </w:rPr>
        <w:lastRenderedPageBreak/>
        <w:t>Summarized Financial Statement Information</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245"/>
        <w:gridCol w:w="163"/>
        <w:gridCol w:w="1525"/>
        <w:gridCol w:w="102"/>
        <w:gridCol w:w="76"/>
        <w:gridCol w:w="163"/>
        <w:gridCol w:w="1571"/>
        <w:gridCol w:w="102"/>
      </w:tblGrid>
      <w:tr w:rsidR="002E0961" w14:paraId="21069BC3" w14:textId="77777777">
        <w:trPr>
          <w:cantSplit/>
          <w:trHeight w:hRule="exact" w:val="270"/>
        </w:trPr>
        <w:tc>
          <w:tcPr>
            <w:tcW w:w="6000" w:type="dxa"/>
            <w:tcBorders>
              <w:top w:val="nil"/>
              <w:left w:val="nil"/>
              <w:bottom w:val="nil"/>
              <w:right w:val="nil"/>
            </w:tcBorders>
            <w:tcMar>
              <w:top w:w="0" w:type="dxa"/>
              <w:left w:w="0" w:type="dxa"/>
              <w:bottom w:w="0" w:type="dxa"/>
              <w:right w:w="0" w:type="dxa"/>
            </w:tcMar>
            <w:vAlign w:val="bottom"/>
          </w:tcPr>
          <w:p w14:paraId="1229CD5F" w14:textId="77777777" w:rsidR="002E0961" w:rsidRDefault="002E0961">
            <w:pPr>
              <w:keepNext/>
            </w:pPr>
          </w:p>
        </w:tc>
        <w:tc>
          <w:tcPr>
            <w:tcW w:w="240" w:type="dxa"/>
            <w:tcBorders>
              <w:top w:val="nil"/>
              <w:left w:val="nil"/>
              <w:bottom w:val="nil"/>
              <w:right w:val="nil"/>
            </w:tcBorders>
            <w:tcMar>
              <w:top w:w="0" w:type="dxa"/>
              <w:left w:w="0" w:type="dxa"/>
              <w:bottom w:w="0" w:type="dxa"/>
              <w:right w:w="0" w:type="dxa"/>
            </w:tcMar>
            <w:vAlign w:val="bottom"/>
          </w:tcPr>
          <w:p w14:paraId="68B8731A" w14:textId="77777777" w:rsidR="002E0961" w:rsidRDefault="002E0961">
            <w:pPr>
              <w:keepNext/>
            </w:pPr>
          </w:p>
        </w:tc>
        <w:tc>
          <w:tcPr>
            <w:tcW w:w="3630" w:type="dxa"/>
            <w:gridSpan w:val="7"/>
            <w:tcBorders>
              <w:top w:val="nil"/>
              <w:left w:val="nil"/>
              <w:bottom w:val="nil"/>
              <w:right w:val="nil"/>
            </w:tcBorders>
            <w:tcMar>
              <w:top w:w="0" w:type="dxa"/>
              <w:left w:w="53" w:type="dxa"/>
              <w:bottom w:w="0" w:type="dxa"/>
              <w:right w:w="53" w:type="dxa"/>
            </w:tcMar>
            <w:vAlign w:val="bottom"/>
          </w:tcPr>
          <w:p w14:paraId="07249220" w14:textId="77777777" w:rsidR="002E0961" w:rsidRDefault="00BD0E60">
            <w:pPr>
              <w:keepNext/>
              <w:spacing w:before="75" w:after="30" w:line="200" w:lineRule="auto"/>
              <w:jc w:val="center"/>
            </w:pPr>
            <w:r>
              <w:rPr>
                <w:b/>
                <w:color w:val="000000"/>
                <w:sz w:val="16"/>
              </w:rPr>
              <w:t>For the Three Months Ended</w:t>
            </w:r>
          </w:p>
        </w:tc>
      </w:tr>
      <w:tr w:rsidR="002E0961" w14:paraId="5E8C723E" w14:textId="77777777">
        <w:trPr>
          <w:cantSplit/>
          <w:trHeight w:hRule="exact" w:val="255"/>
        </w:trPr>
        <w:tc>
          <w:tcPr>
            <w:tcW w:w="6000" w:type="dxa"/>
            <w:tcBorders>
              <w:top w:val="nil"/>
              <w:left w:val="nil"/>
              <w:bottom w:val="nil"/>
              <w:right w:val="nil"/>
            </w:tcBorders>
            <w:tcMar>
              <w:top w:w="0" w:type="dxa"/>
              <w:left w:w="53" w:type="dxa"/>
              <w:bottom w:w="0" w:type="dxa"/>
              <w:right w:w="53" w:type="dxa"/>
            </w:tcMar>
            <w:vAlign w:val="bottom"/>
          </w:tcPr>
          <w:p w14:paraId="15923BEB" w14:textId="77777777" w:rsidR="002E0961" w:rsidRDefault="00BD0E60">
            <w:pPr>
              <w:keepNext/>
              <w:spacing w:before="75" w:after="30" w:line="200" w:lineRule="auto"/>
            </w:pPr>
            <w:r>
              <w:rPr>
                <w:b/>
                <w:color w:val="000000"/>
                <w:sz w:val="16"/>
              </w:rPr>
              <w:t>(in millions of dollars, except per unit data)</w:t>
            </w:r>
          </w:p>
        </w:tc>
        <w:tc>
          <w:tcPr>
            <w:tcW w:w="240" w:type="dxa"/>
            <w:tcBorders>
              <w:top w:val="nil"/>
              <w:left w:val="nil"/>
              <w:bottom w:val="nil"/>
              <w:right w:val="nil"/>
            </w:tcBorders>
            <w:tcMar>
              <w:top w:w="0" w:type="dxa"/>
              <w:left w:w="0" w:type="dxa"/>
              <w:bottom w:w="0" w:type="dxa"/>
              <w:right w:w="0" w:type="dxa"/>
            </w:tcMar>
            <w:vAlign w:val="bottom"/>
          </w:tcPr>
          <w:p w14:paraId="26116311" w14:textId="77777777" w:rsidR="002E0961" w:rsidRDefault="002E0961">
            <w:pPr>
              <w:keepNext/>
            </w:pPr>
          </w:p>
        </w:tc>
        <w:tc>
          <w:tcPr>
            <w:tcW w:w="175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04123B9A" w14:textId="77777777" w:rsidR="002E0961" w:rsidRDefault="00BD0E60">
            <w:pPr>
              <w:keepNext/>
              <w:spacing w:before="55" w:after="30" w:line="200" w:lineRule="auto"/>
              <w:jc w:val="center"/>
            </w:pPr>
            <w:r>
              <w:rPr>
                <w:b/>
                <w:color w:val="000000"/>
                <w:sz w:val="16"/>
              </w:rPr>
              <w:t>September 30, 2020</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4A852DCE" w14:textId="77777777" w:rsidR="002E0961" w:rsidRDefault="002E0961">
            <w:pPr>
              <w:keepNext/>
            </w:pPr>
          </w:p>
        </w:tc>
        <w:tc>
          <w:tcPr>
            <w:tcW w:w="180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723B0DC7" w14:textId="77777777" w:rsidR="002E0961" w:rsidRDefault="00BD0E60">
            <w:pPr>
              <w:keepNext/>
              <w:spacing w:before="55" w:after="30" w:line="209" w:lineRule="auto"/>
              <w:jc w:val="center"/>
              <w:rPr>
                <w:b/>
                <w:sz w:val="16"/>
              </w:rPr>
            </w:pPr>
            <w:r>
              <w:rPr>
                <w:b/>
                <w:sz w:val="16"/>
              </w:rPr>
              <w:t xml:space="preserve">June 30, 2020 </w:t>
            </w:r>
            <w:r>
              <w:rPr>
                <w:b/>
                <w:sz w:val="16"/>
                <w:vertAlign w:val="superscript"/>
              </w:rPr>
              <w:t>(2)</w:t>
            </w:r>
          </w:p>
        </w:tc>
      </w:tr>
      <w:tr w:rsidR="002E0961" w14:paraId="56397CCE" w14:textId="77777777">
        <w:trPr>
          <w:cantSplit/>
          <w:trHeight w:hRule="exact" w:val="300"/>
        </w:trPr>
        <w:tc>
          <w:tcPr>
            <w:tcW w:w="6000" w:type="dxa"/>
            <w:tcBorders>
              <w:top w:val="nil"/>
              <w:left w:val="nil"/>
              <w:bottom w:val="nil"/>
              <w:right w:val="nil"/>
            </w:tcBorders>
            <w:shd w:val="clear" w:color="auto" w:fill="CCEEFF"/>
            <w:tcMar>
              <w:top w:w="0" w:type="dxa"/>
              <w:left w:w="53" w:type="dxa"/>
              <w:bottom w:w="0" w:type="dxa"/>
              <w:right w:w="53" w:type="dxa"/>
            </w:tcMar>
            <w:vAlign w:val="bottom"/>
          </w:tcPr>
          <w:p w14:paraId="4D07A48A" w14:textId="77777777" w:rsidR="002E0961" w:rsidRDefault="00BD0E60">
            <w:pPr>
              <w:keepNext/>
              <w:spacing w:before="75" w:after="30" w:line="209" w:lineRule="auto"/>
              <w:rPr>
                <w:b/>
                <w:sz w:val="20"/>
              </w:rPr>
            </w:pPr>
            <w:r>
              <w:rPr>
                <w:b/>
                <w:sz w:val="20"/>
              </w:rPr>
              <w:t>Revenue</w:t>
            </w:r>
            <w:r>
              <w:rPr>
                <w:b/>
                <w:sz w:val="20"/>
                <w:vertAlign w:val="superscript"/>
              </w:rPr>
              <w:t xml:space="preserve"> (1)</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3940312D" w14:textId="77777777" w:rsidR="002E0961" w:rsidRDefault="002E0961">
            <w:pPr>
              <w:keepNext/>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6EAB6C87" w14:textId="77777777" w:rsidR="002E0961" w:rsidRDefault="00BD0E60">
            <w:pPr>
              <w:keepNext/>
              <w:spacing w:before="55" w:after="30" w:line="200" w:lineRule="auto"/>
            </w:pPr>
            <w:r>
              <w:rPr>
                <w:color w:val="000000"/>
                <w:sz w:val="20"/>
              </w:rPr>
              <w:t>$</w:t>
            </w:r>
          </w:p>
        </w:tc>
        <w:tc>
          <w:tcPr>
            <w:tcW w:w="14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16F6770" w14:textId="77777777" w:rsidR="002E0961" w:rsidRDefault="00BD0E60">
            <w:pPr>
              <w:keepNext/>
              <w:spacing w:before="55" w:after="30" w:line="200" w:lineRule="auto"/>
              <w:jc w:val="right"/>
            </w:pPr>
            <w:r>
              <w:rPr>
                <w:color w:val="000000"/>
                <w:sz w:val="20"/>
              </w:rPr>
              <w:t>110 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9DFF8D8" w14:textId="77777777" w:rsidR="002E0961" w:rsidRDefault="002E0961">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05A6968" w14:textId="77777777" w:rsidR="002E0961" w:rsidRDefault="002E0961">
            <w:pPr>
              <w:keepNext/>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378AAD0C" w14:textId="77777777" w:rsidR="002E0961" w:rsidRDefault="00BD0E60">
            <w:pPr>
              <w:keepNext/>
              <w:spacing w:before="55" w:after="30" w:line="200" w:lineRule="auto"/>
            </w:pPr>
            <w:r>
              <w:rPr>
                <w:color w:val="000000"/>
                <w:sz w:val="20"/>
              </w:rPr>
              <w:t>$</w:t>
            </w:r>
          </w:p>
        </w:tc>
        <w:tc>
          <w:tcPr>
            <w:tcW w:w="154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E1D7F46" w14:textId="77777777" w:rsidR="002E0961" w:rsidRDefault="00BD0E60">
            <w:pPr>
              <w:keepNext/>
              <w:spacing w:before="55" w:after="30" w:line="200" w:lineRule="auto"/>
              <w:jc w:val="right"/>
            </w:pPr>
            <w:r>
              <w:rPr>
                <w:color w:val="000000"/>
                <w:sz w:val="20"/>
              </w:rPr>
              <w:t>120 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CA87912" w14:textId="77777777" w:rsidR="002E0961" w:rsidRDefault="002E0961">
            <w:pPr>
              <w:keepNext/>
              <w:spacing w:before="55" w:after="30" w:line="200" w:lineRule="auto"/>
            </w:pPr>
          </w:p>
        </w:tc>
      </w:tr>
      <w:tr w:rsidR="002E0961" w14:paraId="0002B14D" w14:textId="77777777">
        <w:trPr>
          <w:cantSplit/>
          <w:trHeight w:hRule="exact" w:val="300"/>
        </w:trPr>
        <w:tc>
          <w:tcPr>
            <w:tcW w:w="6000" w:type="dxa"/>
            <w:tcBorders>
              <w:top w:val="nil"/>
              <w:left w:val="nil"/>
              <w:bottom w:val="nil"/>
              <w:right w:val="nil"/>
            </w:tcBorders>
            <w:shd w:val="clear" w:color="auto" w:fill="FFFFFF"/>
            <w:tcMar>
              <w:top w:w="0" w:type="dxa"/>
              <w:left w:w="53" w:type="dxa"/>
              <w:bottom w:w="0" w:type="dxa"/>
              <w:right w:w="53" w:type="dxa"/>
            </w:tcMar>
            <w:vAlign w:val="bottom"/>
          </w:tcPr>
          <w:p w14:paraId="7675DFCC" w14:textId="77777777" w:rsidR="002E0961" w:rsidRDefault="00BD0E60">
            <w:pPr>
              <w:keepNext/>
              <w:spacing w:before="75" w:after="30" w:line="200" w:lineRule="auto"/>
            </w:pPr>
            <w:r>
              <w:rPr>
                <w:b/>
                <w:color w:val="000000"/>
                <w:sz w:val="20"/>
              </w:rPr>
              <w:t>Costs and expenses</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231783B5" w14:textId="77777777" w:rsidR="002E0961" w:rsidRDefault="002E0961">
            <w:pPr>
              <w:keepNext/>
            </w:pPr>
          </w:p>
        </w:tc>
        <w:tc>
          <w:tcPr>
            <w:tcW w:w="1755" w:type="dxa"/>
            <w:gridSpan w:val="3"/>
            <w:tcBorders>
              <w:top w:val="nil"/>
              <w:left w:val="nil"/>
              <w:bottom w:val="nil"/>
              <w:right w:val="nil"/>
            </w:tcBorders>
            <w:shd w:val="clear" w:color="auto" w:fill="FFFFFF"/>
            <w:tcMar>
              <w:top w:w="0" w:type="dxa"/>
              <w:left w:w="0" w:type="dxa"/>
              <w:bottom w:w="0" w:type="dxa"/>
              <w:right w:w="0" w:type="dxa"/>
            </w:tcMar>
            <w:vAlign w:val="bottom"/>
          </w:tcPr>
          <w:p w14:paraId="58246E20" w14:textId="77777777" w:rsidR="002E0961" w:rsidRDefault="002E0961">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8A1A462" w14:textId="77777777" w:rsidR="002E0961" w:rsidRDefault="002E0961">
            <w:pPr>
              <w:keepNext/>
            </w:pPr>
          </w:p>
        </w:tc>
        <w:tc>
          <w:tcPr>
            <w:tcW w:w="1800" w:type="dxa"/>
            <w:gridSpan w:val="3"/>
            <w:tcBorders>
              <w:top w:val="nil"/>
              <w:left w:val="nil"/>
              <w:bottom w:val="nil"/>
              <w:right w:val="nil"/>
            </w:tcBorders>
            <w:shd w:val="clear" w:color="auto" w:fill="FFFFFF"/>
            <w:tcMar>
              <w:top w:w="0" w:type="dxa"/>
              <w:left w:w="0" w:type="dxa"/>
              <w:bottom w:w="0" w:type="dxa"/>
              <w:right w:w="0" w:type="dxa"/>
            </w:tcMar>
            <w:vAlign w:val="bottom"/>
          </w:tcPr>
          <w:p w14:paraId="3C2C0683" w14:textId="77777777" w:rsidR="002E0961" w:rsidRDefault="002E0961">
            <w:pPr>
              <w:keepNext/>
            </w:pPr>
          </w:p>
        </w:tc>
      </w:tr>
      <w:tr w:rsidR="002E0961" w14:paraId="4ED28F56" w14:textId="77777777">
        <w:trPr>
          <w:cantSplit/>
          <w:trHeight w:hRule="exact" w:val="300"/>
        </w:trPr>
        <w:tc>
          <w:tcPr>
            <w:tcW w:w="6000" w:type="dxa"/>
            <w:tcBorders>
              <w:top w:val="nil"/>
              <w:left w:val="nil"/>
              <w:bottom w:val="nil"/>
              <w:right w:val="nil"/>
            </w:tcBorders>
            <w:shd w:val="clear" w:color="auto" w:fill="CCEEFF"/>
            <w:tcMar>
              <w:top w:w="0" w:type="dxa"/>
              <w:left w:w="53" w:type="dxa"/>
              <w:bottom w:w="0" w:type="dxa"/>
              <w:right w:w="53" w:type="dxa"/>
            </w:tcMar>
            <w:vAlign w:val="bottom"/>
          </w:tcPr>
          <w:p w14:paraId="0258850F" w14:textId="77777777" w:rsidR="002E0961" w:rsidRDefault="00BD0E60">
            <w:pPr>
              <w:keepNext/>
              <w:spacing w:before="75" w:after="30" w:line="200" w:lineRule="auto"/>
            </w:pPr>
            <w:r>
              <w:rPr>
                <w:color w:val="000000"/>
                <w:sz w:val="20"/>
              </w:rPr>
              <w:t>Operations and maintenance</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18F538C4" w14:textId="77777777" w:rsidR="002E0961" w:rsidRDefault="002E0961">
            <w:pPr>
              <w:keepNext/>
            </w:pPr>
          </w:p>
        </w:tc>
        <w:tc>
          <w:tcPr>
            <w:tcW w:w="1655" w:type="dxa"/>
            <w:gridSpan w:val="2"/>
            <w:tcBorders>
              <w:top w:val="nil"/>
              <w:left w:val="nil"/>
              <w:bottom w:val="nil"/>
              <w:right w:val="nil"/>
            </w:tcBorders>
            <w:shd w:val="clear" w:color="auto" w:fill="CCEEFF"/>
            <w:tcMar>
              <w:top w:w="0" w:type="dxa"/>
              <w:left w:w="53" w:type="dxa"/>
              <w:bottom w:w="0" w:type="dxa"/>
              <w:right w:w="0" w:type="dxa"/>
            </w:tcMar>
            <w:vAlign w:val="bottom"/>
          </w:tcPr>
          <w:p w14:paraId="128F6DE1" w14:textId="77777777" w:rsidR="002E0961" w:rsidRDefault="00BD0E60">
            <w:pPr>
              <w:keepNext/>
              <w:spacing w:before="75" w:after="30" w:line="200" w:lineRule="auto"/>
              <w:jc w:val="right"/>
            </w:pPr>
            <w:r>
              <w:rPr>
                <w:color w:val="000000"/>
                <w:sz w:val="20"/>
              </w:rPr>
              <w:t>39 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377045E"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7EF4365" w14:textId="77777777" w:rsidR="002E0961" w:rsidRDefault="002E0961">
            <w:pPr>
              <w:keepNext/>
            </w:pPr>
          </w:p>
        </w:tc>
        <w:tc>
          <w:tcPr>
            <w:tcW w:w="1700" w:type="dxa"/>
            <w:gridSpan w:val="2"/>
            <w:tcBorders>
              <w:top w:val="nil"/>
              <w:left w:val="nil"/>
              <w:bottom w:val="nil"/>
              <w:right w:val="nil"/>
            </w:tcBorders>
            <w:shd w:val="clear" w:color="auto" w:fill="CCEEFF"/>
            <w:tcMar>
              <w:top w:w="0" w:type="dxa"/>
              <w:left w:w="53" w:type="dxa"/>
              <w:bottom w:w="0" w:type="dxa"/>
              <w:right w:w="0" w:type="dxa"/>
            </w:tcMar>
            <w:vAlign w:val="bottom"/>
          </w:tcPr>
          <w:p w14:paraId="20F94AD7" w14:textId="77777777" w:rsidR="002E0961" w:rsidRDefault="00BD0E60">
            <w:pPr>
              <w:keepNext/>
              <w:spacing w:before="75" w:after="30" w:line="200" w:lineRule="auto"/>
              <w:jc w:val="right"/>
            </w:pPr>
            <w:r>
              <w:rPr>
                <w:color w:val="000000"/>
                <w:sz w:val="20"/>
              </w:rPr>
              <w:t>43 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6B8E915" w14:textId="77777777" w:rsidR="002E0961" w:rsidRDefault="002E0961">
            <w:pPr>
              <w:keepNext/>
              <w:spacing w:before="75" w:after="30" w:line="200" w:lineRule="auto"/>
            </w:pPr>
          </w:p>
        </w:tc>
      </w:tr>
      <w:tr w:rsidR="002E0961" w14:paraId="57F47DFA" w14:textId="77777777">
        <w:trPr>
          <w:cantSplit/>
          <w:trHeight w:hRule="exact" w:val="300"/>
        </w:trPr>
        <w:tc>
          <w:tcPr>
            <w:tcW w:w="6000" w:type="dxa"/>
            <w:tcBorders>
              <w:top w:val="nil"/>
              <w:left w:val="nil"/>
              <w:bottom w:val="nil"/>
              <w:right w:val="nil"/>
            </w:tcBorders>
            <w:shd w:val="clear" w:color="auto" w:fill="FFFFFF"/>
            <w:tcMar>
              <w:top w:w="0" w:type="dxa"/>
              <w:left w:w="53" w:type="dxa"/>
              <w:bottom w:w="0" w:type="dxa"/>
              <w:right w:w="53" w:type="dxa"/>
            </w:tcMar>
            <w:vAlign w:val="bottom"/>
          </w:tcPr>
          <w:p w14:paraId="7ED1C5BB" w14:textId="77777777" w:rsidR="002E0961" w:rsidRDefault="00BD0E60">
            <w:pPr>
              <w:keepNext/>
              <w:spacing w:before="75" w:after="30" w:line="200" w:lineRule="auto"/>
            </w:pPr>
            <w:r>
              <w:rPr>
                <w:color w:val="000000"/>
                <w:sz w:val="20"/>
              </w:rPr>
              <w:t>Cost of product sold</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509BA1ED" w14:textId="77777777" w:rsidR="002E0961" w:rsidRDefault="002E0961">
            <w:pPr>
              <w:keepNext/>
            </w:pPr>
          </w:p>
        </w:tc>
        <w:tc>
          <w:tcPr>
            <w:tcW w:w="1655" w:type="dxa"/>
            <w:gridSpan w:val="2"/>
            <w:tcBorders>
              <w:top w:val="nil"/>
              <w:left w:val="nil"/>
              <w:bottom w:val="nil"/>
              <w:right w:val="nil"/>
            </w:tcBorders>
            <w:shd w:val="clear" w:color="auto" w:fill="FFFFFF"/>
            <w:tcMar>
              <w:top w:w="0" w:type="dxa"/>
              <w:left w:w="53" w:type="dxa"/>
              <w:bottom w:w="0" w:type="dxa"/>
              <w:right w:w="0" w:type="dxa"/>
            </w:tcMar>
            <w:vAlign w:val="bottom"/>
          </w:tcPr>
          <w:p w14:paraId="7D9FD8D6" w14:textId="77777777" w:rsidR="002E0961" w:rsidRDefault="00BD0E60">
            <w:pPr>
              <w:keepNext/>
              <w:spacing w:before="75" w:after="30" w:line="200" w:lineRule="auto"/>
              <w:jc w:val="right"/>
            </w:pPr>
            <w:r>
              <w:rPr>
                <w:color w:val="000000"/>
                <w:sz w:val="20"/>
              </w:rPr>
              <w:t>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84E7E7A"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6570E85" w14:textId="77777777" w:rsidR="002E0961" w:rsidRDefault="002E0961">
            <w:pPr>
              <w:keepNext/>
            </w:pPr>
          </w:p>
        </w:tc>
        <w:tc>
          <w:tcPr>
            <w:tcW w:w="1700" w:type="dxa"/>
            <w:gridSpan w:val="2"/>
            <w:tcBorders>
              <w:top w:val="nil"/>
              <w:left w:val="nil"/>
              <w:bottom w:val="nil"/>
              <w:right w:val="nil"/>
            </w:tcBorders>
            <w:shd w:val="clear" w:color="auto" w:fill="FFFFFF"/>
            <w:tcMar>
              <w:top w:w="0" w:type="dxa"/>
              <w:left w:w="53" w:type="dxa"/>
              <w:bottom w:w="0" w:type="dxa"/>
              <w:right w:w="0" w:type="dxa"/>
            </w:tcMar>
            <w:vAlign w:val="bottom"/>
          </w:tcPr>
          <w:p w14:paraId="04D4FC6E" w14:textId="77777777" w:rsidR="002E0961" w:rsidRDefault="00BD0E60">
            <w:pPr>
              <w:keepNext/>
              <w:spacing w:before="75" w:after="30" w:line="200" w:lineRule="auto"/>
              <w:jc w:val="right"/>
            </w:pPr>
            <w:r>
              <w:rPr>
                <w:color w:val="000000"/>
                <w:sz w:val="20"/>
              </w:rPr>
              <w:t>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9E4C207" w14:textId="77777777" w:rsidR="002E0961" w:rsidRDefault="002E0961">
            <w:pPr>
              <w:keepNext/>
              <w:spacing w:before="75" w:after="30" w:line="200" w:lineRule="auto"/>
            </w:pPr>
          </w:p>
        </w:tc>
      </w:tr>
      <w:tr w:rsidR="002E0961" w14:paraId="6BDC6815" w14:textId="77777777">
        <w:trPr>
          <w:cantSplit/>
          <w:trHeight w:hRule="exact" w:val="300"/>
        </w:trPr>
        <w:tc>
          <w:tcPr>
            <w:tcW w:w="6000" w:type="dxa"/>
            <w:tcBorders>
              <w:top w:val="nil"/>
              <w:left w:val="nil"/>
              <w:bottom w:val="nil"/>
              <w:right w:val="nil"/>
            </w:tcBorders>
            <w:shd w:val="clear" w:color="auto" w:fill="CCEEFF"/>
            <w:tcMar>
              <w:top w:w="0" w:type="dxa"/>
              <w:left w:w="53" w:type="dxa"/>
              <w:bottom w:w="0" w:type="dxa"/>
              <w:right w:w="53" w:type="dxa"/>
            </w:tcMar>
            <w:vAlign w:val="bottom"/>
          </w:tcPr>
          <w:p w14:paraId="5991CE57" w14:textId="77777777" w:rsidR="002E0961" w:rsidRDefault="00BD0E60">
            <w:pPr>
              <w:keepNext/>
              <w:spacing w:before="75" w:after="30" w:line="200" w:lineRule="auto"/>
            </w:pPr>
            <w:r>
              <w:rPr>
                <w:color w:val="000000"/>
                <w:sz w:val="20"/>
              </w:rPr>
              <w:t>General and administrative</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49A5B65F" w14:textId="77777777" w:rsidR="002E0961" w:rsidRDefault="002E0961">
            <w:pPr>
              <w:keepNext/>
            </w:pPr>
          </w:p>
        </w:tc>
        <w:tc>
          <w:tcPr>
            <w:tcW w:w="1655" w:type="dxa"/>
            <w:gridSpan w:val="2"/>
            <w:tcBorders>
              <w:top w:val="nil"/>
              <w:left w:val="nil"/>
              <w:bottom w:val="nil"/>
              <w:right w:val="nil"/>
            </w:tcBorders>
            <w:shd w:val="clear" w:color="auto" w:fill="CCEEFF"/>
            <w:tcMar>
              <w:top w:w="0" w:type="dxa"/>
              <w:left w:w="53" w:type="dxa"/>
              <w:bottom w:w="0" w:type="dxa"/>
              <w:right w:w="0" w:type="dxa"/>
            </w:tcMar>
            <w:vAlign w:val="bottom"/>
          </w:tcPr>
          <w:p w14:paraId="75524163" w14:textId="77777777" w:rsidR="002E0961" w:rsidRDefault="00BD0E60">
            <w:pPr>
              <w:keepNext/>
              <w:spacing w:before="75" w:after="30" w:line="200" w:lineRule="auto"/>
              <w:jc w:val="right"/>
            </w:pPr>
            <w:r>
              <w:rPr>
                <w:color w:val="000000"/>
                <w:sz w:val="20"/>
              </w:rPr>
              <w:t>14 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FA35BDD"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9081283" w14:textId="77777777" w:rsidR="002E0961" w:rsidRDefault="002E0961">
            <w:pPr>
              <w:keepNext/>
            </w:pPr>
          </w:p>
        </w:tc>
        <w:tc>
          <w:tcPr>
            <w:tcW w:w="1700" w:type="dxa"/>
            <w:gridSpan w:val="2"/>
            <w:tcBorders>
              <w:top w:val="nil"/>
              <w:left w:val="nil"/>
              <w:bottom w:val="nil"/>
              <w:right w:val="nil"/>
            </w:tcBorders>
            <w:shd w:val="clear" w:color="auto" w:fill="CCEEFF"/>
            <w:tcMar>
              <w:top w:w="0" w:type="dxa"/>
              <w:left w:w="53" w:type="dxa"/>
              <w:bottom w:w="0" w:type="dxa"/>
              <w:right w:w="0" w:type="dxa"/>
            </w:tcMar>
            <w:vAlign w:val="bottom"/>
          </w:tcPr>
          <w:p w14:paraId="75BB14B6" w14:textId="77777777" w:rsidR="002E0961" w:rsidRDefault="00BD0E60">
            <w:pPr>
              <w:keepNext/>
              <w:spacing w:before="75" w:after="30" w:line="200" w:lineRule="auto"/>
              <w:jc w:val="right"/>
            </w:pPr>
            <w:r>
              <w:rPr>
                <w:color w:val="000000"/>
                <w:sz w:val="20"/>
              </w:rPr>
              <w:t>16 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5168441" w14:textId="77777777" w:rsidR="002E0961" w:rsidRDefault="002E0961">
            <w:pPr>
              <w:keepNext/>
              <w:spacing w:before="75" w:after="30" w:line="200" w:lineRule="auto"/>
            </w:pPr>
          </w:p>
        </w:tc>
      </w:tr>
      <w:tr w:rsidR="002E0961" w14:paraId="61BEDF91" w14:textId="77777777">
        <w:trPr>
          <w:cantSplit/>
          <w:trHeight w:hRule="exact" w:val="300"/>
        </w:trPr>
        <w:tc>
          <w:tcPr>
            <w:tcW w:w="6000" w:type="dxa"/>
            <w:tcBorders>
              <w:top w:val="nil"/>
              <w:left w:val="nil"/>
              <w:bottom w:val="nil"/>
              <w:right w:val="nil"/>
            </w:tcBorders>
            <w:shd w:val="clear" w:color="auto" w:fill="FFFFFF"/>
            <w:tcMar>
              <w:top w:w="0" w:type="dxa"/>
              <w:left w:w="53" w:type="dxa"/>
              <w:bottom w:w="0" w:type="dxa"/>
              <w:right w:w="53" w:type="dxa"/>
            </w:tcMar>
            <w:vAlign w:val="bottom"/>
          </w:tcPr>
          <w:p w14:paraId="0191EFDC" w14:textId="77777777" w:rsidR="002E0961" w:rsidRDefault="00BD0E60">
            <w:pPr>
              <w:keepNext/>
              <w:spacing w:before="75" w:after="30" w:line="200" w:lineRule="auto"/>
            </w:pPr>
            <w:r>
              <w:rPr>
                <w:color w:val="000000"/>
                <w:sz w:val="20"/>
              </w:rPr>
              <w:t>Depreciation, amortization and accretion</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56AB72B5" w14:textId="77777777" w:rsidR="002E0961" w:rsidRDefault="002E0961">
            <w:pPr>
              <w:keepNext/>
            </w:pPr>
          </w:p>
        </w:tc>
        <w:tc>
          <w:tcPr>
            <w:tcW w:w="1655" w:type="dxa"/>
            <w:gridSpan w:val="2"/>
            <w:tcBorders>
              <w:top w:val="nil"/>
              <w:left w:val="nil"/>
              <w:bottom w:val="nil"/>
              <w:right w:val="nil"/>
            </w:tcBorders>
            <w:shd w:val="clear" w:color="auto" w:fill="FFFFFF"/>
            <w:tcMar>
              <w:top w:w="0" w:type="dxa"/>
              <w:left w:w="53" w:type="dxa"/>
              <w:bottom w:w="0" w:type="dxa"/>
              <w:right w:w="0" w:type="dxa"/>
            </w:tcMar>
            <w:vAlign w:val="bottom"/>
          </w:tcPr>
          <w:p w14:paraId="0A5C74E8" w14:textId="77777777" w:rsidR="002E0961" w:rsidRDefault="00BD0E60">
            <w:pPr>
              <w:keepNext/>
              <w:spacing w:before="75" w:after="30" w:line="200" w:lineRule="auto"/>
              <w:jc w:val="right"/>
            </w:pPr>
            <w:r>
              <w:rPr>
                <w:color w:val="000000"/>
                <w:sz w:val="20"/>
              </w:rPr>
              <w:t>13 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7FD9D7C"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78F502C" w14:textId="77777777" w:rsidR="002E0961" w:rsidRDefault="002E0961">
            <w:pPr>
              <w:keepNext/>
            </w:pPr>
          </w:p>
        </w:tc>
        <w:tc>
          <w:tcPr>
            <w:tcW w:w="1700" w:type="dxa"/>
            <w:gridSpan w:val="2"/>
            <w:tcBorders>
              <w:top w:val="nil"/>
              <w:left w:val="nil"/>
              <w:bottom w:val="nil"/>
              <w:right w:val="nil"/>
            </w:tcBorders>
            <w:shd w:val="clear" w:color="auto" w:fill="FFFFFF"/>
            <w:tcMar>
              <w:top w:w="0" w:type="dxa"/>
              <w:left w:w="53" w:type="dxa"/>
              <w:bottom w:w="0" w:type="dxa"/>
              <w:right w:w="0" w:type="dxa"/>
            </w:tcMar>
            <w:vAlign w:val="bottom"/>
          </w:tcPr>
          <w:p w14:paraId="500395AE" w14:textId="77777777" w:rsidR="002E0961" w:rsidRDefault="00BD0E60">
            <w:pPr>
              <w:keepNext/>
              <w:spacing w:before="75" w:after="30" w:line="200" w:lineRule="auto"/>
              <w:jc w:val="right"/>
            </w:pPr>
            <w:r>
              <w:rPr>
                <w:color w:val="000000"/>
                <w:sz w:val="20"/>
              </w:rPr>
              <w:t>13 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4920B0E" w14:textId="77777777" w:rsidR="002E0961" w:rsidRDefault="002E0961">
            <w:pPr>
              <w:keepNext/>
              <w:spacing w:before="75" w:after="30" w:line="200" w:lineRule="auto"/>
            </w:pPr>
          </w:p>
        </w:tc>
      </w:tr>
      <w:tr w:rsidR="002E0961" w14:paraId="00BDF603" w14:textId="77777777">
        <w:trPr>
          <w:cantSplit/>
          <w:trHeight w:hRule="exact" w:val="300"/>
        </w:trPr>
        <w:tc>
          <w:tcPr>
            <w:tcW w:w="6000" w:type="dxa"/>
            <w:tcBorders>
              <w:top w:val="nil"/>
              <w:left w:val="nil"/>
              <w:bottom w:val="nil"/>
              <w:right w:val="nil"/>
            </w:tcBorders>
            <w:shd w:val="clear" w:color="auto" w:fill="CCEEFF"/>
            <w:tcMar>
              <w:top w:w="0" w:type="dxa"/>
              <w:left w:w="53" w:type="dxa"/>
              <w:bottom w:w="0" w:type="dxa"/>
              <w:right w:w="53" w:type="dxa"/>
            </w:tcMar>
            <w:vAlign w:val="bottom"/>
          </w:tcPr>
          <w:p w14:paraId="7293A274" w14:textId="77777777" w:rsidR="002E0961" w:rsidRDefault="00BD0E60">
            <w:pPr>
              <w:keepNext/>
              <w:spacing w:before="75" w:after="30" w:line="200" w:lineRule="auto"/>
            </w:pPr>
            <w:r>
              <w:rPr>
                <w:color w:val="000000"/>
                <w:sz w:val="20"/>
              </w:rPr>
              <w:t>Property and other taxes</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24CC21BF" w14:textId="77777777" w:rsidR="002E0961" w:rsidRDefault="002E0961">
            <w:pPr>
              <w:keepNext/>
            </w:pPr>
          </w:p>
        </w:tc>
        <w:tc>
          <w:tcPr>
            <w:tcW w:w="165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46375B8D" w14:textId="77777777" w:rsidR="002E0961" w:rsidRDefault="00BD0E60">
            <w:pPr>
              <w:keepNext/>
              <w:spacing w:before="75" w:after="30" w:line="200" w:lineRule="auto"/>
              <w:jc w:val="right"/>
            </w:pPr>
            <w:r>
              <w:rPr>
                <w:color w:val="000000"/>
                <w:sz w:val="20"/>
              </w:rPr>
              <w:t>6 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4C00EC8"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703F156" w14:textId="77777777" w:rsidR="002E0961" w:rsidRDefault="002E0961">
            <w:pPr>
              <w:keepNext/>
            </w:pPr>
          </w:p>
        </w:tc>
        <w:tc>
          <w:tcPr>
            <w:tcW w:w="170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1D4E528D" w14:textId="77777777" w:rsidR="002E0961" w:rsidRDefault="00BD0E60">
            <w:pPr>
              <w:keepNext/>
              <w:spacing w:before="75" w:after="30" w:line="200" w:lineRule="auto"/>
              <w:jc w:val="right"/>
            </w:pPr>
            <w:r>
              <w:rPr>
                <w:color w:val="000000"/>
                <w:sz w:val="20"/>
              </w:rPr>
              <w:t>5 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0C1AAAF" w14:textId="77777777" w:rsidR="002E0961" w:rsidRDefault="002E0961">
            <w:pPr>
              <w:keepNext/>
              <w:spacing w:before="75" w:after="30" w:line="200" w:lineRule="auto"/>
            </w:pPr>
          </w:p>
        </w:tc>
      </w:tr>
      <w:tr w:rsidR="002E0961" w14:paraId="6BD56FF7" w14:textId="77777777">
        <w:trPr>
          <w:cantSplit/>
          <w:trHeight w:hRule="exact" w:val="300"/>
        </w:trPr>
        <w:tc>
          <w:tcPr>
            <w:tcW w:w="6000" w:type="dxa"/>
            <w:tcBorders>
              <w:top w:val="nil"/>
              <w:left w:val="nil"/>
              <w:bottom w:val="nil"/>
              <w:right w:val="nil"/>
            </w:tcBorders>
            <w:shd w:val="clear" w:color="auto" w:fill="FFFFFF"/>
            <w:tcMar>
              <w:top w:w="0" w:type="dxa"/>
              <w:left w:w="53" w:type="dxa"/>
              <w:bottom w:w="0" w:type="dxa"/>
              <w:right w:w="53" w:type="dxa"/>
            </w:tcMar>
            <w:vAlign w:val="bottom"/>
          </w:tcPr>
          <w:p w14:paraId="12937CED" w14:textId="77777777" w:rsidR="002E0961" w:rsidRDefault="00BD0E60">
            <w:pPr>
              <w:keepNext/>
              <w:spacing w:before="75" w:after="30" w:line="200" w:lineRule="auto"/>
              <w:ind w:left="120"/>
            </w:pPr>
            <w:r>
              <w:rPr>
                <w:color w:val="000000"/>
                <w:sz w:val="20"/>
              </w:rPr>
              <w:t>Total costs and expenses</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3F2C4D8A" w14:textId="77777777" w:rsidR="002E0961" w:rsidRDefault="002E0961">
            <w:pPr>
              <w:keepNext/>
            </w:pPr>
          </w:p>
        </w:tc>
        <w:tc>
          <w:tcPr>
            <w:tcW w:w="1655" w:type="dxa"/>
            <w:gridSpan w:val="2"/>
            <w:tcBorders>
              <w:top w:val="single" w:sz="8" w:space="0" w:color="000000"/>
              <w:left w:val="nil"/>
              <w:bottom w:val="single" w:sz="8" w:space="0" w:color="000000"/>
              <w:right w:val="nil"/>
            </w:tcBorders>
            <w:shd w:val="clear" w:color="auto" w:fill="FFFFFF"/>
            <w:tcMar>
              <w:top w:w="0" w:type="dxa"/>
              <w:left w:w="53" w:type="dxa"/>
              <w:bottom w:w="0" w:type="dxa"/>
              <w:right w:w="0" w:type="dxa"/>
            </w:tcMar>
            <w:vAlign w:val="bottom"/>
          </w:tcPr>
          <w:p w14:paraId="21A78A61" w14:textId="77777777" w:rsidR="002E0961" w:rsidRDefault="00BD0E60">
            <w:pPr>
              <w:keepNext/>
              <w:spacing w:before="55" w:after="30" w:line="200" w:lineRule="auto"/>
              <w:jc w:val="right"/>
            </w:pPr>
            <w:r>
              <w:rPr>
                <w:color w:val="000000"/>
                <w:sz w:val="20"/>
              </w:rPr>
              <w:t>75 </w:t>
            </w:r>
          </w:p>
        </w:tc>
        <w:tc>
          <w:tcPr>
            <w:tcW w:w="1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37461F0" w14:textId="77777777" w:rsidR="002E0961" w:rsidRDefault="002E0961">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2DDFE98" w14:textId="77777777" w:rsidR="002E0961" w:rsidRDefault="002E0961">
            <w:pPr>
              <w:keepNext/>
            </w:pPr>
          </w:p>
        </w:tc>
        <w:tc>
          <w:tcPr>
            <w:tcW w:w="1700" w:type="dxa"/>
            <w:gridSpan w:val="2"/>
            <w:tcBorders>
              <w:top w:val="single" w:sz="8" w:space="0" w:color="000000"/>
              <w:left w:val="nil"/>
              <w:bottom w:val="single" w:sz="8" w:space="0" w:color="000000"/>
              <w:right w:val="nil"/>
            </w:tcBorders>
            <w:shd w:val="clear" w:color="auto" w:fill="FFFFFF"/>
            <w:tcMar>
              <w:top w:w="0" w:type="dxa"/>
              <w:left w:w="53" w:type="dxa"/>
              <w:bottom w:w="0" w:type="dxa"/>
              <w:right w:w="0" w:type="dxa"/>
            </w:tcMar>
            <w:vAlign w:val="bottom"/>
          </w:tcPr>
          <w:p w14:paraId="697CCEDB" w14:textId="77777777" w:rsidR="002E0961" w:rsidRDefault="00BD0E60">
            <w:pPr>
              <w:keepNext/>
              <w:spacing w:before="55" w:after="30" w:line="200" w:lineRule="auto"/>
              <w:jc w:val="right"/>
            </w:pPr>
            <w:r>
              <w:rPr>
                <w:color w:val="000000"/>
                <w:sz w:val="20"/>
              </w:rPr>
              <w:t>79 </w:t>
            </w:r>
          </w:p>
        </w:tc>
        <w:tc>
          <w:tcPr>
            <w:tcW w:w="1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41885E4" w14:textId="77777777" w:rsidR="002E0961" w:rsidRDefault="002E0961">
            <w:pPr>
              <w:keepNext/>
              <w:spacing w:before="55" w:after="30" w:line="200" w:lineRule="auto"/>
            </w:pPr>
          </w:p>
        </w:tc>
      </w:tr>
      <w:tr w:rsidR="002E0961" w14:paraId="048B3449" w14:textId="77777777">
        <w:trPr>
          <w:cantSplit/>
          <w:trHeight w:hRule="exact" w:val="300"/>
        </w:trPr>
        <w:tc>
          <w:tcPr>
            <w:tcW w:w="6000" w:type="dxa"/>
            <w:tcBorders>
              <w:top w:val="nil"/>
              <w:left w:val="nil"/>
              <w:bottom w:val="nil"/>
              <w:right w:val="nil"/>
            </w:tcBorders>
            <w:shd w:val="clear" w:color="auto" w:fill="CCEEFF"/>
            <w:tcMar>
              <w:top w:w="0" w:type="dxa"/>
              <w:left w:w="53" w:type="dxa"/>
              <w:bottom w:w="0" w:type="dxa"/>
              <w:right w:w="53" w:type="dxa"/>
            </w:tcMar>
            <w:vAlign w:val="bottom"/>
          </w:tcPr>
          <w:p w14:paraId="7635458C" w14:textId="77777777" w:rsidR="002E0961" w:rsidRDefault="00BD0E60">
            <w:pPr>
              <w:keepNext/>
              <w:spacing w:before="75" w:after="30" w:line="200" w:lineRule="auto"/>
            </w:pPr>
            <w:r>
              <w:rPr>
                <w:b/>
                <w:color w:val="000000"/>
                <w:sz w:val="20"/>
              </w:rPr>
              <w:t>Operating income</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74B9FE92" w14:textId="77777777" w:rsidR="002E0961" w:rsidRDefault="002E0961">
            <w:pPr>
              <w:keepNext/>
            </w:pPr>
          </w:p>
        </w:tc>
        <w:tc>
          <w:tcPr>
            <w:tcW w:w="165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1E682AD7" w14:textId="77777777" w:rsidR="002E0961" w:rsidRDefault="00BD0E60">
            <w:pPr>
              <w:keepNext/>
              <w:spacing w:before="55" w:after="30" w:line="200" w:lineRule="auto"/>
              <w:jc w:val="right"/>
            </w:pPr>
            <w:r>
              <w:rPr>
                <w:color w:val="000000"/>
                <w:sz w:val="20"/>
              </w:rPr>
              <w:t>35 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D404111" w14:textId="77777777" w:rsidR="002E0961" w:rsidRDefault="002E0961">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50CDD2D" w14:textId="77777777" w:rsidR="002E0961" w:rsidRDefault="002E0961">
            <w:pPr>
              <w:keepNext/>
            </w:pPr>
          </w:p>
        </w:tc>
        <w:tc>
          <w:tcPr>
            <w:tcW w:w="1700"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198DE370" w14:textId="77777777" w:rsidR="002E0961" w:rsidRDefault="00BD0E60">
            <w:pPr>
              <w:keepNext/>
              <w:spacing w:before="55" w:after="30" w:line="200" w:lineRule="auto"/>
              <w:jc w:val="right"/>
            </w:pPr>
            <w:r>
              <w:rPr>
                <w:color w:val="000000"/>
                <w:sz w:val="20"/>
              </w:rPr>
              <w:t>41 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35AFC3A" w14:textId="77777777" w:rsidR="002E0961" w:rsidRDefault="002E0961">
            <w:pPr>
              <w:keepNext/>
              <w:spacing w:before="55" w:after="30" w:line="200" w:lineRule="auto"/>
            </w:pPr>
          </w:p>
        </w:tc>
      </w:tr>
      <w:tr w:rsidR="002E0961" w14:paraId="7CF5D884" w14:textId="77777777">
        <w:trPr>
          <w:cantSplit/>
          <w:trHeight w:hRule="exact" w:val="300"/>
        </w:trPr>
        <w:tc>
          <w:tcPr>
            <w:tcW w:w="6000" w:type="dxa"/>
            <w:tcBorders>
              <w:top w:val="nil"/>
              <w:left w:val="nil"/>
              <w:bottom w:val="nil"/>
              <w:right w:val="nil"/>
            </w:tcBorders>
            <w:shd w:val="clear" w:color="auto" w:fill="FFFFFF"/>
            <w:tcMar>
              <w:top w:w="0" w:type="dxa"/>
              <w:left w:w="53" w:type="dxa"/>
              <w:bottom w:w="0" w:type="dxa"/>
              <w:right w:w="53" w:type="dxa"/>
            </w:tcMar>
            <w:vAlign w:val="bottom"/>
          </w:tcPr>
          <w:p w14:paraId="6B6187B1" w14:textId="77777777" w:rsidR="002E0961" w:rsidRDefault="00BD0E60">
            <w:pPr>
              <w:keepNext/>
              <w:spacing w:before="75" w:after="30" w:line="200" w:lineRule="auto"/>
            </w:pPr>
            <w:r>
              <w:rPr>
                <w:color w:val="000000"/>
                <w:sz w:val="20"/>
              </w:rPr>
              <w:t>Income from equity method investments</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179F93D4" w14:textId="77777777" w:rsidR="002E0961" w:rsidRDefault="002E0961">
            <w:pPr>
              <w:keepNext/>
            </w:pPr>
          </w:p>
        </w:tc>
        <w:tc>
          <w:tcPr>
            <w:tcW w:w="1655" w:type="dxa"/>
            <w:gridSpan w:val="2"/>
            <w:tcBorders>
              <w:top w:val="nil"/>
              <w:left w:val="nil"/>
              <w:bottom w:val="nil"/>
              <w:right w:val="nil"/>
            </w:tcBorders>
            <w:shd w:val="clear" w:color="auto" w:fill="FFFFFF"/>
            <w:tcMar>
              <w:top w:w="0" w:type="dxa"/>
              <w:left w:w="53" w:type="dxa"/>
              <w:bottom w:w="0" w:type="dxa"/>
              <w:right w:w="0" w:type="dxa"/>
            </w:tcMar>
            <w:vAlign w:val="bottom"/>
          </w:tcPr>
          <w:p w14:paraId="5FF6EFAD" w14:textId="77777777" w:rsidR="002E0961" w:rsidRDefault="00BD0E60">
            <w:pPr>
              <w:keepNext/>
              <w:spacing w:before="75" w:after="30" w:line="200" w:lineRule="auto"/>
              <w:jc w:val="right"/>
            </w:pPr>
            <w:r>
              <w:rPr>
                <w:color w:val="000000"/>
                <w:sz w:val="20"/>
              </w:rPr>
              <w:t>109 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F559A83"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2156530" w14:textId="77777777" w:rsidR="002E0961" w:rsidRDefault="002E0961">
            <w:pPr>
              <w:keepNext/>
            </w:pPr>
          </w:p>
        </w:tc>
        <w:tc>
          <w:tcPr>
            <w:tcW w:w="1700" w:type="dxa"/>
            <w:gridSpan w:val="2"/>
            <w:tcBorders>
              <w:top w:val="nil"/>
              <w:left w:val="nil"/>
              <w:bottom w:val="nil"/>
              <w:right w:val="nil"/>
            </w:tcBorders>
            <w:shd w:val="clear" w:color="auto" w:fill="FFFFFF"/>
            <w:tcMar>
              <w:top w:w="0" w:type="dxa"/>
              <w:left w:w="53" w:type="dxa"/>
              <w:bottom w:w="0" w:type="dxa"/>
              <w:right w:w="0" w:type="dxa"/>
            </w:tcMar>
            <w:vAlign w:val="bottom"/>
          </w:tcPr>
          <w:p w14:paraId="79D7B4DB" w14:textId="77777777" w:rsidR="002E0961" w:rsidRDefault="00BD0E60">
            <w:pPr>
              <w:keepNext/>
              <w:spacing w:before="75" w:after="30" w:line="200" w:lineRule="auto"/>
              <w:jc w:val="right"/>
            </w:pPr>
            <w:r>
              <w:rPr>
                <w:color w:val="000000"/>
                <w:sz w:val="20"/>
              </w:rPr>
              <w:t>109 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3422E44" w14:textId="77777777" w:rsidR="002E0961" w:rsidRDefault="002E0961">
            <w:pPr>
              <w:keepNext/>
              <w:spacing w:before="75" w:after="30" w:line="200" w:lineRule="auto"/>
            </w:pPr>
          </w:p>
        </w:tc>
      </w:tr>
      <w:tr w:rsidR="002E0961" w14:paraId="5710265D" w14:textId="77777777">
        <w:trPr>
          <w:cantSplit/>
          <w:trHeight w:hRule="exact" w:val="300"/>
        </w:trPr>
        <w:tc>
          <w:tcPr>
            <w:tcW w:w="6000" w:type="dxa"/>
            <w:tcBorders>
              <w:top w:val="nil"/>
              <w:left w:val="nil"/>
              <w:bottom w:val="nil"/>
              <w:right w:val="nil"/>
            </w:tcBorders>
            <w:shd w:val="clear" w:color="auto" w:fill="CCEEFF"/>
            <w:tcMar>
              <w:top w:w="0" w:type="dxa"/>
              <w:left w:w="53" w:type="dxa"/>
              <w:bottom w:w="0" w:type="dxa"/>
              <w:right w:w="53" w:type="dxa"/>
            </w:tcMar>
            <w:vAlign w:val="bottom"/>
          </w:tcPr>
          <w:p w14:paraId="7E803CC8" w14:textId="77777777" w:rsidR="002E0961" w:rsidRDefault="00BD0E60">
            <w:pPr>
              <w:keepNext/>
              <w:spacing w:before="75" w:after="30" w:line="200" w:lineRule="auto"/>
            </w:pPr>
            <w:r>
              <w:rPr>
                <w:color w:val="000000"/>
                <w:sz w:val="20"/>
              </w:rPr>
              <w:t>Other income</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18A8B62D" w14:textId="77777777" w:rsidR="002E0961" w:rsidRDefault="002E0961">
            <w:pPr>
              <w:keepNext/>
            </w:pPr>
          </w:p>
        </w:tc>
        <w:tc>
          <w:tcPr>
            <w:tcW w:w="165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1B619705" w14:textId="77777777" w:rsidR="002E0961" w:rsidRDefault="00BD0E60">
            <w:pPr>
              <w:keepNext/>
              <w:spacing w:before="75" w:after="30" w:line="200" w:lineRule="auto"/>
              <w:jc w:val="right"/>
            </w:pPr>
            <w:r>
              <w:rPr>
                <w:color w:val="000000"/>
                <w:sz w:val="20"/>
              </w:rPr>
              <w:t>7 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9EB56EA"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471F60C" w14:textId="77777777" w:rsidR="002E0961" w:rsidRDefault="002E0961">
            <w:pPr>
              <w:keepNext/>
            </w:pPr>
          </w:p>
        </w:tc>
        <w:tc>
          <w:tcPr>
            <w:tcW w:w="170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42F8F630" w14:textId="77777777" w:rsidR="002E0961" w:rsidRDefault="00BD0E60">
            <w:pPr>
              <w:keepNext/>
              <w:spacing w:before="75" w:after="30" w:line="200" w:lineRule="auto"/>
              <w:jc w:val="right"/>
            </w:pPr>
            <w:r>
              <w:rPr>
                <w:color w:val="000000"/>
                <w:sz w:val="20"/>
              </w:rPr>
              <w:t>11 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4096262" w14:textId="77777777" w:rsidR="002E0961" w:rsidRDefault="002E0961">
            <w:pPr>
              <w:keepNext/>
              <w:spacing w:before="75" w:after="30" w:line="200" w:lineRule="auto"/>
            </w:pPr>
          </w:p>
        </w:tc>
      </w:tr>
      <w:tr w:rsidR="002E0961" w14:paraId="72CED27E" w14:textId="77777777">
        <w:trPr>
          <w:cantSplit/>
          <w:trHeight w:hRule="exact" w:val="300"/>
        </w:trPr>
        <w:tc>
          <w:tcPr>
            <w:tcW w:w="6000" w:type="dxa"/>
            <w:tcBorders>
              <w:top w:val="nil"/>
              <w:left w:val="nil"/>
              <w:bottom w:val="nil"/>
              <w:right w:val="nil"/>
            </w:tcBorders>
            <w:shd w:val="clear" w:color="auto" w:fill="FFFFFF"/>
            <w:tcMar>
              <w:top w:w="0" w:type="dxa"/>
              <w:left w:w="53" w:type="dxa"/>
              <w:bottom w:w="0" w:type="dxa"/>
              <w:right w:w="53" w:type="dxa"/>
            </w:tcMar>
            <w:vAlign w:val="bottom"/>
          </w:tcPr>
          <w:p w14:paraId="219C92AE" w14:textId="77777777" w:rsidR="002E0961" w:rsidRDefault="00BD0E60">
            <w:pPr>
              <w:keepNext/>
              <w:spacing w:before="75" w:after="30" w:line="200" w:lineRule="auto"/>
              <w:ind w:left="120"/>
            </w:pPr>
            <w:r>
              <w:rPr>
                <w:color w:val="000000"/>
                <w:sz w:val="20"/>
              </w:rPr>
              <w:t>Investment and other income</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0EB3EF56" w14:textId="77777777" w:rsidR="002E0961" w:rsidRDefault="002E0961">
            <w:pPr>
              <w:keepNext/>
            </w:pPr>
          </w:p>
        </w:tc>
        <w:tc>
          <w:tcPr>
            <w:tcW w:w="165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27F16CB8" w14:textId="77777777" w:rsidR="002E0961" w:rsidRDefault="00BD0E60">
            <w:pPr>
              <w:keepNext/>
              <w:spacing w:before="55" w:after="30" w:line="200" w:lineRule="auto"/>
              <w:jc w:val="right"/>
            </w:pPr>
            <w:r>
              <w:rPr>
                <w:color w:val="000000"/>
                <w:sz w:val="20"/>
              </w:rPr>
              <w:t>116 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3E48457" w14:textId="77777777" w:rsidR="002E0961" w:rsidRDefault="002E0961">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0B5F1F9" w14:textId="77777777" w:rsidR="002E0961" w:rsidRDefault="002E0961">
            <w:pPr>
              <w:keepNext/>
            </w:pPr>
          </w:p>
        </w:tc>
        <w:tc>
          <w:tcPr>
            <w:tcW w:w="170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7F109460" w14:textId="77777777" w:rsidR="002E0961" w:rsidRDefault="00BD0E60">
            <w:pPr>
              <w:keepNext/>
              <w:spacing w:before="55" w:after="30" w:line="200" w:lineRule="auto"/>
              <w:jc w:val="right"/>
            </w:pPr>
            <w:r>
              <w:rPr>
                <w:color w:val="000000"/>
                <w:sz w:val="20"/>
              </w:rPr>
              <w:t>120 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3A192C8C" w14:textId="77777777" w:rsidR="002E0961" w:rsidRDefault="002E0961">
            <w:pPr>
              <w:keepNext/>
              <w:spacing w:before="55" w:after="30" w:line="200" w:lineRule="auto"/>
            </w:pPr>
          </w:p>
        </w:tc>
      </w:tr>
      <w:tr w:rsidR="002E0961" w14:paraId="1C4D1875" w14:textId="77777777">
        <w:trPr>
          <w:cantSplit/>
          <w:trHeight w:hRule="exact" w:val="300"/>
        </w:trPr>
        <w:tc>
          <w:tcPr>
            <w:tcW w:w="6000" w:type="dxa"/>
            <w:tcBorders>
              <w:top w:val="nil"/>
              <w:left w:val="nil"/>
              <w:bottom w:val="nil"/>
              <w:right w:val="nil"/>
            </w:tcBorders>
            <w:shd w:val="clear" w:color="auto" w:fill="CCEEFF"/>
            <w:tcMar>
              <w:top w:w="0" w:type="dxa"/>
              <w:left w:w="53" w:type="dxa"/>
              <w:bottom w:w="0" w:type="dxa"/>
              <w:right w:w="53" w:type="dxa"/>
            </w:tcMar>
            <w:vAlign w:val="bottom"/>
          </w:tcPr>
          <w:p w14:paraId="036E3199" w14:textId="77777777" w:rsidR="002E0961" w:rsidRDefault="00BD0E60">
            <w:pPr>
              <w:keepNext/>
              <w:spacing w:before="75" w:after="30" w:line="200" w:lineRule="auto"/>
            </w:pPr>
            <w:r>
              <w:rPr>
                <w:color w:val="000000"/>
                <w:sz w:val="20"/>
              </w:rPr>
              <w:t>Interest income</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35717DF2" w14:textId="77777777" w:rsidR="002E0961" w:rsidRDefault="002E0961">
            <w:pPr>
              <w:keepNext/>
            </w:pPr>
          </w:p>
        </w:tc>
        <w:tc>
          <w:tcPr>
            <w:tcW w:w="1655" w:type="dxa"/>
            <w:gridSpan w:val="2"/>
            <w:tcBorders>
              <w:top w:val="nil"/>
              <w:left w:val="nil"/>
              <w:bottom w:val="nil"/>
              <w:right w:val="nil"/>
            </w:tcBorders>
            <w:shd w:val="clear" w:color="auto" w:fill="CCEEFF"/>
            <w:tcMar>
              <w:top w:w="0" w:type="dxa"/>
              <w:left w:w="53" w:type="dxa"/>
              <w:bottom w:w="0" w:type="dxa"/>
              <w:right w:w="0" w:type="dxa"/>
            </w:tcMar>
            <w:vAlign w:val="bottom"/>
          </w:tcPr>
          <w:p w14:paraId="5DF96BB4" w14:textId="77777777" w:rsidR="002E0961" w:rsidRDefault="00BD0E60">
            <w:pPr>
              <w:keepNext/>
              <w:spacing w:before="75" w:after="30" w:line="200" w:lineRule="auto"/>
              <w:jc w:val="right"/>
            </w:pPr>
            <w:r>
              <w:rPr>
                <w:color w:val="000000"/>
                <w:sz w:val="20"/>
              </w:rPr>
              <w:t>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4A5BA79"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4EF84E2" w14:textId="77777777" w:rsidR="002E0961" w:rsidRDefault="002E0961">
            <w:pPr>
              <w:keepNext/>
            </w:pPr>
          </w:p>
        </w:tc>
        <w:tc>
          <w:tcPr>
            <w:tcW w:w="1700" w:type="dxa"/>
            <w:gridSpan w:val="2"/>
            <w:tcBorders>
              <w:top w:val="nil"/>
              <w:left w:val="nil"/>
              <w:bottom w:val="nil"/>
              <w:right w:val="nil"/>
            </w:tcBorders>
            <w:shd w:val="clear" w:color="auto" w:fill="CCEEFF"/>
            <w:tcMar>
              <w:top w:w="0" w:type="dxa"/>
              <w:left w:w="53" w:type="dxa"/>
              <w:bottom w:w="0" w:type="dxa"/>
              <w:right w:w="0" w:type="dxa"/>
            </w:tcMar>
            <w:vAlign w:val="bottom"/>
          </w:tcPr>
          <w:p w14:paraId="13C98C2D" w14:textId="77777777" w:rsidR="002E0961" w:rsidRDefault="00BD0E60">
            <w:pPr>
              <w:keepNext/>
              <w:spacing w:before="75" w:after="30" w:line="200" w:lineRule="auto"/>
              <w:jc w:val="right"/>
            </w:pPr>
            <w:r>
              <w:rPr>
                <w:color w:val="000000"/>
                <w:sz w:val="20"/>
              </w:rPr>
              <w:t>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613450F" w14:textId="77777777" w:rsidR="002E0961" w:rsidRDefault="002E0961">
            <w:pPr>
              <w:keepNext/>
              <w:spacing w:before="75" w:after="30" w:line="200" w:lineRule="auto"/>
            </w:pPr>
          </w:p>
        </w:tc>
      </w:tr>
      <w:tr w:rsidR="002E0961" w14:paraId="446EE9FA" w14:textId="77777777">
        <w:trPr>
          <w:cantSplit/>
          <w:trHeight w:hRule="exact" w:val="300"/>
        </w:trPr>
        <w:tc>
          <w:tcPr>
            <w:tcW w:w="6000" w:type="dxa"/>
            <w:tcBorders>
              <w:top w:val="nil"/>
              <w:left w:val="nil"/>
              <w:bottom w:val="nil"/>
              <w:right w:val="nil"/>
            </w:tcBorders>
            <w:shd w:val="clear" w:color="auto" w:fill="FFFFFF"/>
            <w:tcMar>
              <w:top w:w="0" w:type="dxa"/>
              <w:left w:w="53" w:type="dxa"/>
              <w:bottom w:w="0" w:type="dxa"/>
              <w:right w:w="53" w:type="dxa"/>
            </w:tcMar>
            <w:vAlign w:val="bottom"/>
          </w:tcPr>
          <w:p w14:paraId="54B00955" w14:textId="77777777" w:rsidR="002E0961" w:rsidRDefault="00BD0E60">
            <w:pPr>
              <w:keepNext/>
              <w:spacing w:before="75" w:after="30" w:line="200" w:lineRule="auto"/>
            </w:pPr>
            <w:r>
              <w:rPr>
                <w:color w:val="000000"/>
                <w:sz w:val="20"/>
              </w:rPr>
              <w:t>Interest expense</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0062F100" w14:textId="77777777" w:rsidR="002E0961" w:rsidRDefault="002E0961">
            <w:pPr>
              <w:keepNext/>
            </w:pPr>
          </w:p>
        </w:tc>
        <w:tc>
          <w:tcPr>
            <w:tcW w:w="165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6EC44EC9" w14:textId="77777777" w:rsidR="002E0961" w:rsidRDefault="00BD0E60">
            <w:pPr>
              <w:keepNext/>
              <w:spacing w:before="75" w:after="30" w:line="200" w:lineRule="auto"/>
              <w:jc w:val="right"/>
            </w:pPr>
            <w:r>
              <w:rPr>
                <w:color w:val="000000"/>
                <w:sz w:val="20"/>
              </w:rPr>
              <w:t>22 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C0F614A"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5144E3D" w14:textId="77777777" w:rsidR="002E0961" w:rsidRDefault="002E0961">
            <w:pPr>
              <w:keepNext/>
            </w:pPr>
          </w:p>
        </w:tc>
        <w:tc>
          <w:tcPr>
            <w:tcW w:w="1700"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270A6BD4" w14:textId="77777777" w:rsidR="002E0961" w:rsidRDefault="00BD0E60">
            <w:pPr>
              <w:keepNext/>
              <w:spacing w:before="75" w:after="30" w:line="200" w:lineRule="auto"/>
              <w:jc w:val="right"/>
            </w:pPr>
            <w:r>
              <w:rPr>
                <w:color w:val="000000"/>
                <w:sz w:val="20"/>
              </w:rPr>
              <w:t>24 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5D76C9F" w14:textId="77777777" w:rsidR="002E0961" w:rsidRDefault="002E0961">
            <w:pPr>
              <w:keepNext/>
              <w:spacing w:before="75" w:after="30" w:line="200" w:lineRule="auto"/>
            </w:pPr>
          </w:p>
        </w:tc>
      </w:tr>
      <w:tr w:rsidR="002E0961" w14:paraId="740CA126" w14:textId="77777777">
        <w:trPr>
          <w:cantSplit/>
          <w:trHeight w:hRule="exact" w:val="300"/>
        </w:trPr>
        <w:tc>
          <w:tcPr>
            <w:tcW w:w="6000" w:type="dxa"/>
            <w:tcBorders>
              <w:top w:val="nil"/>
              <w:left w:val="nil"/>
              <w:bottom w:val="nil"/>
              <w:right w:val="nil"/>
            </w:tcBorders>
            <w:shd w:val="clear" w:color="auto" w:fill="CCEEFF"/>
            <w:tcMar>
              <w:top w:w="0" w:type="dxa"/>
              <w:left w:w="53" w:type="dxa"/>
              <w:bottom w:w="0" w:type="dxa"/>
              <w:right w:w="53" w:type="dxa"/>
            </w:tcMar>
            <w:vAlign w:val="bottom"/>
          </w:tcPr>
          <w:p w14:paraId="6E12E9F8" w14:textId="77777777" w:rsidR="002E0961" w:rsidRDefault="00BD0E60">
            <w:pPr>
              <w:keepNext/>
              <w:spacing w:before="75" w:after="30" w:line="200" w:lineRule="auto"/>
            </w:pPr>
            <w:r>
              <w:rPr>
                <w:color w:val="000000"/>
                <w:sz w:val="20"/>
              </w:rPr>
              <w:t>Income before income taxes</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66A6BA3D" w14:textId="77777777" w:rsidR="002E0961" w:rsidRDefault="002E0961">
            <w:pPr>
              <w:keepNext/>
            </w:pPr>
          </w:p>
        </w:tc>
        <w:tc>
          <w:tcPr>
            <w:tcW w:w="165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2543ACC6" w14:textId="77777777" w:rsidR="002E0961" w:rsidRDefault="00BD0E60">
            <w:pPr>
              <w:keepNext/>
              <w:spacing w:before="55" w:after="30" w:line="200" w:lineRule="auto"/>
              <w:jc w:val="right"/>
            </w:pPr>
            <w:r>
              <w:rPr>
                <w:color w:val="000000"/>
                <w:sz w:val="20"/>
              </w:rPr>
              <w:t>137 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047F003" w14:textId="77777777" w:rsidR="002E0961" w:rsidRDefault="002E0961">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2CF72E3" w14:textId="77777777" w:rsidR="002E0961" w:rsidRDefault="002E0961">
            <w:pPr>
              <w:keepNext/>
            </w:pPr>
          </w:p>
        </w:tc>
        <w:tc>
          <w:tcPr>
            <w:tcW w:w="1700"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7B775976" w14:textId="77777777" w:rsidR="002E0961" w:rsidRDefault="00BD0E60">
            <w:pPr>
              <w:keepNext/>
              <w:spacing w:before="55" w:after="30" w:line="200" w:lineRule="auto"/>
              <w:jc w:val="right"/>
            </w:pPr>
            <w:r>
              <w:rPr>
                <w:color w:val="000000"/>
                <w:sz w:val="20"/>
              </w:rPr>
              <w:t>144 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CAFEC65" w14:textId="77777777" w:rsidR="002E0961" w:rsidRDefault="002E0961">
            <w:pPr>
              <w:keepNext/>
              <w:spacing w:before="55" w:after="30" w:line="200" w:lineRule="auto"/>
            </w:pPr>
          </w:p>
        </w:tc>
      </w:tr>
      <w:tr w:rsidR="002E0961" w14:paraId="0D43518C" w14:textId="77777777">
        <w:trPr>
          <w:cantSplit/>
          <w:trHeight w:hRule="exact" w:val="300"/>
        </w:trPr>
        <w:tc>
          <w:tcPr>
            <w:tcW w:w="6000" w:type="dxa"/>
            <w:tcBorders>
              <w:top w:val="nil"/>
              <w:left w:val="nil"/>
              <w:bottom w:val="nil"/>
              <w:right w:val="nil"/>
            </w:tcBorders>
            <w:shd w:val="clear" w:color="auto" w:fill="FFFFFF"/>
            <w:tcMar>
              <w:top w:w="0" w:type="dxa"/>
              <w:left w:w="53" w:type="dxa"/>
              <w:bottom w:w="0" w:type="dxa"/>
              <w:right w:w="53" w:type="dxa"/>
            </w:tcMar>
            <w:vAlign w:val="bottom"/>
          </w:tcPr>
          <w:p w14:paraId="238F336E" w14:textId="77777777" w:rsidR="002E0961" w:rsidRDefault="00BD0E60">
            <w:pPr>
              <w:keepNext/>
              <w:spacing w:before="75" w:after="30" w:line="200" w:lineRule="auto"/>
            </w:pPr>
            <w:r>
              <w:rPr>
                <w:color w:val="000000"/>
                <w:sz w:val="20"/>
              </w:rPr>
              <w:t>Income tax expense</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47B4C9EB" w14:textId="77777777" w:rsidR="002E0961" w:rsidRDefault="002E0961">
            <w:pPr>
              <w:keepNext/>
            </w:pPr>
          </w:p>
        </w:tc>
        <w:tc>
          <w:tcPr>
            <w:tcW w:w="165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7DB316BB" w14:textId="77777777" w:rsidR="002E0961" w:rsidRDefault="00BD0E60">
            <w:pPr>
              <w:keepNext/>
              <w:spacing w:before="75" w:after="30" w:line="200" w:lineRule="auto"/>
              <w:jc w:val="right"/>
            </w:pPr>
            <w:r>
              <w:rPr>
                <w:color w:val="000000"/>
                <w:sz w:val="20"/>
              </w:rPr>
              <w:t>—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A7C0662"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30DC094" w14:textId="77777777" w:rsidR="002E0961" w:rsidRDefault="002E0961">
            <w:pPr>
              <w:keepNext/>
            </w:pPr>
          </w:p>
        </w:tc>
        <w:tc>
          <w:tcPr>
            <w:tcW w:w="1700"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21A1EBF2" w14:textId="77777777" w:rsidR="002E0961" w:rsidRDefault="00BD0E60">
            <w:pPr>
              <w:keepNext/>
              <w:spacing w:before="75" w:after="30" w:line="200" w:lineRule="auto"/>
              <w:jc w:val="right"/>
            </w:pPr>
            <w:r>
              <w:rPr>
                <w:color w:val="000000"/>
                <w:sz w:val="20"/>
              </w:rPr>
              <w:t>—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BE57842" w14:textId="77777777" w:rsidR="002E0961" w:rsidRDefault="002E0961">
            <w:pPr>
              <w:keepNext/>
              <w:spacing w:before="75" w:after="30" w:line="200" w:lineRule="auto"/>
            </w:pPr>
          </w:p>
        </w:tc>
      </w:tr>
      <w:tr w:rsidR="002E0961" w14:paraId="545E8ACB" w14:textId="77777777">
        <w:trPr>
          <w:cantSplit/>
          <w:trHeight w:hRule="exact" w:val="300"/>
        </w:trPr>
        <w:tc>
          <w:tcPr>
            <w:tcW w:w="6000" w:type="dxa"/>
            <w:tcBorders>
              <w:top w:val="nil"/>
              <w:left w:val="nil"/>
              <w:bottom w:val="nil"/>
              <w:right w:val="nil"/>
            </w:tcBorders>
            <w:shd w:val="clear" w:color="auto" w:fill="CCEEFF"/>
            <w:tcMar>
              <w:top w:w="0" w:type="dxa"/>
              <w:left w:w="53" w:type="dxa"/>
              <w:bottom w:w="0" w:type="dxa"/>
              <w:right w:w="53" w:type="dxa"/>
            </w:tcMar>
            <w:vAlign w:val="bottom"/>
          </w:tcPr>
          <w:p w14:paraId="6A9C2BF8" w14:textId="77777777" w:rsidR="002E0961" w:rsidRDefault="00BD0E60">
            <w:pPr>
              <w:keepNext/>
              <w:spacing w:before="75" w:after="30" w:line="200" w:lineRule="auto"/>
              <w:ind w:left="120"/>
            </w:pPr>
            <w:r>
              <w:rPr>
                <w:b/>
                <w:color w:val="000000"/>
                <w:sz w:val="20"/>
              </w:rPr>
              <w:t>Net income</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044FA735" w14:textId="77777777" w:rsidR="002E0961" w:rsidRDefault="002E0961">
            <w:pPr>
              <w:keepNext/>
            </w:pPr>
          </w:p>
        </w:tc>
        <w:tc>
          <w:tcPr>
            <w:tcW w:w="165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7ECE551F" w14:textId="77777777" w:rsidR="002E0961" w:rsidRDefault="00BD0E60">
            <w:pPr>
              <w:keepNext/>
              <w:spacing w:before="55" w:after="30" w:line="200" w:lineRule="auto"/>
              <w:jc w:val="right"/>
            </w:pPr>
            <w:r>
              <w:rPr>
                <w:color w:val="000000"/>
                <w:sz w:val="20"/>
              </w:rPr>
              <w:t>137 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CA4814B" w14:textId="77777777" w:rsidR="002E0961" w:rsidRDefault="002E0961">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E00FDF9" w14:textId="77777777" w:rsidR="002E0961" w:rsidRDefault="002E0961">
            <w:pPr>
              <w:keepNext/>
            </w:pPr>
          </w:p>
        </w:tc>
        <w:tc>
          <w:tcPr>
            <w:tcW w:w="1700"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671C3097" w14:textId="77777777" w:rsidR="002E0961" w:rsidRDefault="00BD0E60">
            <w:pPr>
              <w:keepNext/>
              <w:spacing w:before="55" w:after="30" w:line="200" w:lineRule="auto"/>
              <w:jc w:val="right"/>
            </w:pPr>
            <w:r>
              <w:rPr>
                <w:color w:val="000000"/>
                <w:sz w:val="20"/>
              </w:rPr>
              <w:t>144 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F8109B7" w14:textId="77777777" w:rsidR="002E0961" w:rsidRDefault="002E0961">
            <w:pPr>
              <w:keepNext/>
              <w:spacing w:before="55" w:after="30" w:line="200" w:lineRule="auto"/>
            </w:pPr>
          </w:p>
        </w:tc>
      </w:tr>
      <w:tr w:rsidR="002E0961" w14:paraId="760B0A26" w14:textId="77777777">
        <w:trPr>
          <w:cantSplit/>
          <w:trHeight w:hRule="exact" w:val="300"/>
        </w:trPr>
        <w:tc>
          <w:tcPr>
            <w:tcW w:w="6000" w:type="dxa"/>
            <w:tcBorders>
              <w:top w:val="nil"/>
              <w:left w:val="nil"/>
              <w:bottom w:val="nil"/>
              <w:right w:val="nil"/>
            </w:tcBorders>
            <w:shd w:val="clear" w:color="auto" w:fill="FFFFFF"/>
            <w:tcMar>
              <w:top w:w="0" w:type="dxa"/>
              <w:left w:w="53" w:type="dxa"/>
              <w:bottom w:w="0" w:type="dxa"/>
              <w:right w:w="53" w:type="dxa"/>
            </w:tcMar>
            <w:vAlign w:val="bottom"/>
          </w:tcPr>
          <w:p w14:paraId="49FF7B5E" w14:textId="77777777" w:rsidR="002E0961" w:rsidRDefault="00BD0E60">
            <w:pPr>
              <w:keepNext/>
              <w:spacing w:before="75" w:after="30" w:line="200" w:lineRule="auto"/>
            </w:pPr>
            <w:r>
              <w:rPr>
                <w:color w:val="000000"/>
                <w:sz w:val="20"/>
              </w:rPr>
              <w:t>Less: Net income attributable to noncontrolling interests</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692C9505" w14:textId="77777777" w:rsidR="002E0961" w:rsidRDefault="002E0961">
            <w:pPr>
              <w:keepNext/>
            </w:pPr>
          </w:p>
        </w:tc>
        <w:tc>
          <w:tcPr>
            <w:tcW w:w="165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6E5DD2C8" w14:textId="77777777" w:rsidR="002E0961" w:rsidRDefault="00BD0E60">
            <w:pPr>
              <w:keepNext/>
              <w:spacing w:before="75" w:after="30" w:line="200" w:lineRule="auto"/>
              <w:jc w:val="right"/>
            </w:pPr>
            <w:r>
              <w:rPr>
                <w:color w:val="000000"/>
                <w:sz w:val="20"/>
              </w:rPr>
              <w:t>2 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06C2710"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0235392" w14:textId="77777777" w:rsidR="002E0961" w:rsidRDefault="002E0961">
            <w:pPr>
              <w:keepNext/>
            </w:pPr>
          </w:p>
        </w:tc>
        <w:tc>
          <w:tcPr>
            <w:tcW w:w="1700"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164A022D" w14:textId="77777777" w:rsidR="002E0961" w:rsidRDefault="00BD0E60">
            <w:pPr>
              <w:keepNext/>
              <w:spacing w:before="75" w:after="30" w:line="200" w:lineRule="auto"/>
              <w:jc w:val="right"/>
            </w:pPr>
            <w:r>
              <w:rPr>
                <w:color w:val="000000"/>
                <w:sz w:val="20"/>
              </w:rPr>
              <w:t>3 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0422ED2" w14:textId="77777777" w:rsidR="002E0961" w:rsidRDefault="002E0961">
            <w:pPr>
              <w:keepNext/>
              <w:spacing w:before="75" w:after="30" w:line="200" w:lineRule="auto"/>
            </w:pPr>
          </w:p>
        </w:tc>
      </w:tr>
      <w:tr w:rsidR="002E0961" w14:paraId="2A5E3906" w14:textId="77777777">
        <w:trPr>
          <w:cantSplit/>
          <w:trHeight w:hRule="exact" w:val="300"/>
        </w:trPr>
        <w:tc>
          <w:tcPr>
            <w:tcW w:w="6000" w:type="dxa"/>
            <w:tcBorders>
              <w:top w:val="nil"/>
              <w:left w:val="nil"/>
              <w:bottom w:val="nil"/>
              <w:right w:val="nil"/>
            </w:tcBorders>
            <w:shd w:val="clear" w:color="auto" w:fill="CCEEFF"/>
            <w:tcMar>
              <w:top w:w="0" w:type="dxa"/>
              <w:left w:w="53" w:type="dxa"/>
              <w:bottom w:w="0" w:type="dxa"/>
              <w:right w:w="53" w:type="dxa"/>
            </w:tcMar>
            <w:vAlign w:val="bottom"/>
          </w:tcPr>
          <w:p w14:paraId="2091482C" w14:textId="77777777" w:rsidR="002E0961" w:rsidRDefault="00BD0E60">
            <w:pPr>
              <w:keepNext/>
              <w:spacing w:before="75" w:after="30" w:line="200" w:lineRule="auto"/>
            </w:pPr>
            <w:r>
              <w:rPr>
                <w:color w:val="000000"/>
                <w:sz w:val="20"/>
              </w:rPr>
              <w:t>Net income attributable to the Partnership</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008A76E9" w14:textId="77777777" w:rsidR="002E0961" w:rsidRDefault="002E0961">
            <w:pPr>
              <w:keepNext/>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5B008197" w14:textId="77777777" w:rsidR="002E0961" w:rsidRDefault="00BD0E60">
            <w:pPr>
              <w:keepNext/>
              <w:spacing w:before="55" w:after="30" w:line="200" w:lineRule="auto"/>
            </w:pPr>
            <w:r>
              <w:rPr>
                <w:color w:val="000000"/>
                <w:sz w:val="20"/>
              </w:rPr>
              <w:t>$</w:t>
            </w:r>
          </w:p>
        </w:tc>
        <w:tc>
          <w:tcPr>
            <w:tcW w:w="149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3D78597F" w14:textId="77777777" w:rsidR="002E0961" w:rsidRDefault="00BD0E60">
            <w:pPr>
              <w:keepNext/>
              <w:spacing w:before="55" w:after="30" w:line="200" w:lineRule="auto"/>
              <w:jc w:val="right"/>
            </w:pPr>
            <w:r>
              <w:rPr>
                <w:color w:val="000000"/>
                <w:sz w:val="20"/>
              </w:rPr>
              <w:t>135 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D0E21B2" w14:textId="77777777" w:rsidR="002E0961" w:rsidRDefault="002E0961">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22F8B39" w14:textId="77777777" w:rsidR="002E0961" w:rsidRDefault="002E0961">
            <w:pPr>
              <w:keepNext/>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64FCD036" w14:textId="77777777" w:rsidR="002E0961" w:rsidRDefault="00BD0E60">
            <w:pPr>
              <w:keepNext/>
              <w:spacing w:before="55" w:after="30" w:line="200" w:lineRule="auto"/>
            </w:pPr>
            <w:r>
              <w:rPr>
                <w:color w:val="000000"/>
                <w:sz w:val="20"/>
              </w:rPr>
              <w:t>$</w:t>
            </w:r>
          </w:p>
        </w:tc>
        <w:tc>
          <w:tcPr>
            <w:tcW w:w="154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51CCA4E6" w14:textId="77777777" w:rsidR="002E0961" w:rsidRDefault="00BD0E60">
            <w:pPr>
              <w:keepNext/>
              <w:spacing w:before="55" w:after="30" w:line="200" w:lineRule="auto"/>
              <w:jc w:val="right"/>
            </w:pPr>
            <w:r>
              <w:rPr>
                <w:color w:val="000000"/>
                <w:sz w:val="20"/>
              </w:rPr>
              <w:t>141 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2DEDA01" w14:textId="77777777" w:rsidR="002E0961" w:rsidRDefault="002E0961">
            <w:pPr>
              <w:keepNext/>
              <w:spacing w:before="55" w:after="30" w:line="200" w:lineRule="auto"/>
            </w:pPr>
          </w:p>
        </w:tc>
      </w:tr>
      <w:tr w:rsidR="002E0961" w14:paraId="110DF8BB" w14:textId="77777777">
        <w:trPr>
          <w:cantSplit/>
          <w:trHeight w:hRule="exact" w:val="525"/>
        </w:trPr>
        <w:tc>
          <w:tcPr>
            <w:tcW w:w="6000" w:type="dxa"/>
            <w:tcBorders>
              <w:top w:val="nil"/>
              <w:left w:val="nil"/>
              <w:bottom w:val="nil"/>
              <w:right w:val="nil"/>
            </w:tcBorders>
            <w:shd w:val="clear" w:color="auto" w:fill="FFFFFF"/>
            <w:tcMar>
              <w:top w:w="0" w:type="dxa"/>
              <w:left w:w="53" w:type="dxa"/>
              <w:bottom w:w="0" w:type="dxa"/>
              <w:right w:w="53" w:type="dxa"/>
            </w:tcMar>
            <w:vAlign w:val="bottom"/>
          </w:tcPr>
          <w:p w14:paraId="7BBE5ACA" w14:textId="77777777" w:rsidR="002E0961" w:rsidRDefault="00BD0E60">
            <w:pPr>
              <w:keepNext/>
              <w:spacing w:before="75" w:after="30" w:line="200" w:lineRule="auto"/>
            </w:pPr>
            <w:r>
              <w:rPr>
                <w:color w:val="000000"/>
                <w:sz w:val="20"/>
              </w:rPr>
              <w:t>Preferred unitholder’s interest in net income attributable to the Partnership</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50ADFFC0" w14:textId="77777777" w:rsidR="002E0961" w:rsidRDefault="002E0961">
            <w:pPr>
              <w:keepNext/>
            </w:pPr>
          </w:p>
        </w:tc>
        <w:tc>
          <w:tcPr>
            <w:tcW w:w="160" w:type="dxa"/>
            <w:tcBorders>
              <w:top w:val="double" w:sz="8" w:space="0" w:color="000000"/>
              <w:left w:val="nil"/>
              <w:bottom w:val="nil"/>
              <w:right w:val="nil"/>
            </w:tcBorders>
            <w:shd w:val="clear" w:color="auto" w:fill="FFFFFF"/>
            <w:tcMar>
              <w:top w:w="0" w:type="dxa"/>
              <w:left w:w="53" w:type="dxa"/>
              <w:bottom w:w="0" w:type="dxa"/>
              <w:right w:w="0" w:type="dxa"/>
            </w:tcMar>
            <w:vAlign w:val="bottom"/>
          </w:tcPr>
          <w:p w14:paraId="3E395911" w14:textId="77777777" w:rsidR="002E0961" w:rsidRDefault="00BD0E60">
            <w:pPr>
              <w:keepNext/>
              <w:spacing w:before="55" w:after="30" w:line="200" w:lineRule="auto"/>
            </w:pPr>
            <w:r>
              <w:rPr>
                <w:color w:val="000000"/>
                <w:sz w:val="20"/>
              </w:rPr>
              <w:t>$</w:t>
            </w:r>
          </w:p>
        </w:tc>
        <w:tc>
          <w:tcPr>
            <w:tcW w:w="14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391AC5BB" w14:textId="77777777" w:rsidR="002E0961" w:rsidRDefault="00BD0E60">
            <w:pPr>
              <w:keepNext/>
              <w:spacing w:before="55" w:after="30" w:line="200" w:lineRule="auto"/>
              <w:jc w:val="right"/>
            </w:pPr>
            <w:r>
              <w:rPr>
                <w:color w:val="000000"/>
                <w:sz w:val="20"/>
              </w:rPr>
              <w:t>12 </w:t>
            </w:r>
          </w:p>
        </w:tc>
        <w:tc>
          <w:tcPr>
            <w:tcW w:w="10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14:paraId="532067A1" w14:textId="77777777" w:rsidR="002E0961" w:rsidRDefault="002E0961">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D347D62" w14:textId="77777777" w:rsidR="002E0961" w:rsidRDefault="002E0961">
            <w:pPr>
              <w:keepNext/>
            </w:pPr>
          </w:p>
        </w:tc>
        <w:tc>
          <w:tcPr>
            <w:tcW w:w="160" w:type="dxa"/>
            <w:tcBorders>
              <w:top w:val="double" w:sz="8" w:space="0" w:color="000000"/>
              <w:left w:val="nil"/>
              <w:bottom w:val="nil"/>
              <w:right w:val="nil"/>
            </w:tcBorders>
            <w:shd w:val="clear" w:color="auto" w:fill="FFFFFF"/>
            <w:tcMar>
              <w:top w:w="0" w:type="dxa"/>
              <w:left w:w="53" w:type="dxa"/>
              <w:bottom w:w="0" w:type="dxa"/>
              <w:right w:w="0" w:type="dxa"/>
            </w:tcMar>
            <w:vAlign w:val="bottom"/>
          </w:tcPr>
          <w:p w14:paraId="01BACFAE" w14:textId="77777777" w:rsidR="002E0961" w:rsidRDefault="00BD0E60">
            <w:pPr>
              <w:keepNext/>
              <w:spacing w:before="55" w:after="30" w:line="200" w:lineRule="auto"/>
            </w:pPr>
            <w:r>
              <w:rPr>
                <w:color w:val="000000"/>
                <w:sz w:val="20"/>
              </w:rPr>
              <w:t>$</w:t>
            </w:r>
          </w:p>
        </w:tc>
        <w:tc>
          <w:tcPr>
            <w:tcW w:w="154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76BDE6BA" w14:textId="77777777" w:rsidR="002E0961" w:rsidRDefault="00BD0E60">
            <w:pPr>
              <w:keepNext/>
              <w:spacing w:before="55" w:after="30" w:line="200" w:lineRule="auto"/>
              <w:jc w:val="right"/>
            </w:pPr>
            <w:r>
              <w:rPr>
                <w:color w:val="000000"/>
                <w:sz w:val="20"/>
              </w:rPr>
              <w:t>12 </w:t>
            </w:r>
          </w:p>
        </w:tc>
        <w:tc>
          <w:tcPr>
            <w:tcW w:w="10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14:paraId="6E496754" w14:textId="77777777" w:rsidR="002E0961" w:rsidRDefault="002E0961">
            <w:pPr>
              <w:keepNext/>
              <w:spacing w:before="55" w:after="30" w:line="200" w:lineRule="auto"/>
            </w:pPr>
          </w:p>
        </w:tc>
      </w:tr>
      <w:tr w:rsidR="002E0961" w14:paraId="780DBB0A" w14:textId="77777777" w:rsidTr="00245D7D">
        <w:trPr>
          <w:cantSplit/>
          <w:trHeight w:hRule="exact" w:val="609"/>
        </w:trPr>
        <w:tc>
          <w:tcPr>
            <w:tcW w:w="6000" w:type="dxa"/>
            <w:tcBorders>
              <w:top w:val="nil"/>
              <w:left w:val="nil"/>
              <w:bottom w:val="nil"/>
              <w:right w:val="nil"/>
            </w:tcBorders>
            <w:shd w:val="clear" w:color="auto" w:fill="CCEEFF"/>
            <w:tcMar>
              <w:top w:w="0" w:type="dxa"/>
              <w:left w:w="53" w:type="dxa"/>
              <w:bottom w:w="0" w:type="dxa"/>
              <w:right w:w="53" w:type="dxa"/>
            </w:tcMar>
            <w:vAlign w:val="bottom"/>
          </w:tcPr>
          <w:p w14:paraId="600BD11C" w14:textId="77777777" w:rsidR="002E0961" w:rsidRDefault="00BD0E60">
            <w:pPr>
              <w:keepNext/>
              <w:spacing w:before="75" w:after="30" w:line="200" w:lineRule="auto"/>
            </w:pPr>
            <w:r>
              <w:rPr>
                <w:b/>
                <w:color w:val="000000"/>
                <w:sz w:val="20"/>
              </w:rPr>
              <w:t>Limited Partners’ interest in net income attributable to the Partnership’ common unitholders</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4061FB55" w14:textId="77777777" w:rsidR="002E0961" w:rsidRDefault="002E0961">
            <w:pPr>
              <w:keepNext/>
            </w:pPr>
          </w:p>
        </w:tc>
        <w:tc>
          <w:tcPr>
            <w:tcW w:w="160" w:type="dxa"/>
            <w:tcBorders>
              <w:top w:val="doub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09F3D5C2" w14:textId="77777777" w:rsidR="002E0961" w:rsidRDefault="00BD0E60">
            <w:pPr>
              <w:keepNext/>
              <w:spacing w:before="55" w:after="30" w:line="200" w:lineRule="auto"/>
            </w:pPr>
            <w:r>
              <w:rPr>
                <w:color w:val="000000"/>
                <w:sz w:val="20"/>
              </w:rPr>
              <w:t>$</w:t>
            </w:r>
          </w:p>
        </w:tc>
        <w:tc>
          <w:tcPr>
            <w:tcW w:w="1495" w:type="dxa"/>
            <w:tcBorders>
              <w:top w:val="doub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6A5C19D6" w14:textId="77777777" w:rsidR="002E0961" w:rsidRDefault="00BD0E60">
            <w:pPr>
              <w:keepNext/>
              <w:spacing w:before="55" w:after="30" w:line="200" w:lineRule="auto"/>
              <w:jc w:val="right"/>
            </w:pPr>
            <w:r>
              <w:rPr>
                <w:color w:val="000000"/>
                <w:sz w:val="20"/>
              </w:rPr>
              <w:t>123 </w:t>
            </w:r>
          </w:p>
        </w:tc>
        <w:tc>
          <w:tcPr>
            <w:tcW w:w="100" w:type="dxa"/>
            <w:tcBorders>
              <w:top w:val="doub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A5826F1" w14:textId="77777777" w:rsidR="002E0961" w:rsidRDefault="002E0961">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2DAE396" w14:textId="77777777" w:rsidR="002E0961" w:rsidRDefault="002E0961">
            <w:pPr>
              <w:keepNext/>
            </w:pPr>
          </w:p>
        </w:tc>
        <w:tc>
          <w:tcPr>
            <w:tcW w:w="160" w:type="dxa"/>
            <w:tcBorders>
              <w:top w:val="doub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3259CAE2" w14:textId="77777777" w:rsidR="002E0961" w:rsidRDefault="00BD0E60">
            <w:pPr>
              <w:keepNext/>
              <w:spacing w:before="55" w:after="30" w:line="200" w:lineRule="auto"/>
            </w:pPr>
            <w:r>
              <w:rPr>
                <w:color w:val="000000"/>
                <w:sz w:val="20"/>
              </w:rPr>
              <w:t>$</w:t>
            </w:r>
          </w:p>
        </w:tc>
        <w:tc>
          <w:tcPr>
            <w:tcW w:w="1540" w:type="dxa"/>
            <w:tcBorders>
              <w:top w:val="doub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39C90E54" w14:textId="77777777" w:rsidR="002E0961" w:rsidRDefault="00BD0E60">
            <w:pPr>
              <w:keepNext/>
              <w:spacing w:before="55" w:after="30" w:line="200" w:lineRule="auto"/>
              <w:jc w:val="right"/>
            </w:pPr>
            <w:r>
              <w:rPr>
                <w:color w:val="000000"/>
                <w:sz w:val="20"/>
              </w:rPr>
              <w:t>129 </w:t>
            </w:r>
          </w:p>
        </w:tc>
        <w:tc>
          <w:tcPr>
            <w:tcW w:w="100" w:type="dxa"/>
            <w:tcBorders>
              <w:top w:val="doub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1377844" w14:textId="77777777" w:rsidR="002E0961" w:rsidRDefault="002E0961">
            <w:pPr>
              <w:keepNext/>
              <w:spacing w:before="55" w:after="30" w:line="200" w:lineRule="auto"/>
            </w:pPr>
          </w:p>
        </w:tc>
      </w:tr>
      <w:tr w:rsidR="002E0961" w14:paraId="01D11FCF" w14:textId="77777777">
        <w:trPr>
          <w:cantSplit/>
          <w:trHeight w:hRule="exact" w:val="300"/>
        </w:trPr>
        <w:tc>
          <w:tcPr>
            <w:tcW w:w="6000" w:type="dxa"/>
            <w:tcBorders>
              <w:top w:val="nil"/>
              <w:left w:val="nil"/>
              <w:bottom w:val="nil"/>
              <w:right w:val="nil"/>
            </w:tcBorders>
            <w:shd w:val="clear" w:color="auto" w:fill="FFFFFF"/>
            <w:tcMar>
              <w:top w:w="0" w:type="dxa"/>
              <w:left w:w="0" w:type="dxa"/>
              <w:bottom w:w="0" w:type="dxa"/>
              <w:right w:w="0" w:type="dxa"/>
            </w:tcMar>
            <w:vAlign w:val="bottom"/>
          </w:tcPr>
          <w:p w14:paraId="41CD7607" w14:textId="77777777" w:rsidR="002E0961" w:rsidRDefault="002E0961">
            <w:pPr>
              <w:keepNext/>
            </w:pP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0235CD14" w14:textId="77777777" w:rsidR="002E0961" w:rsidRDefault="002E0961">
            <w:pPr>
              <w:keepNext/>
            </w:pPr>
          </w:p>
        </w:tc>
        <w:tc>
          <w:tcPr>
            <w:tcW w:w="1755" w:type="dxa"/>
            <w:gridSpan w:val="3"/>
            <w:tcBorders>
              <w:top w:val="double" w:sz="8" w:space="0" w:color="000000"/>
              <w:left w:val="nil"/>
              <w:bottom w:val="nil"/>
              <w:right w:val="nil"/>
            </w:tcBorders>
            <w:shd w:val="clear" w:color="auto" w:fill="FFFFFF"/>
            <w:tcMar>
              <w:top w:w="0" w:type="dxa"/>
              <w:left w:w="0" w:type="dxa"/>
              <w:bottom w:w="0" w:type="dxa"/>
              <w:right w:w="0" w:type="dxa"/>
            </w:tcMar>
            <w:vAlign w:val="bottom"/>
          </w:tcPr>
          <w:p w14:paraId="65092645" w14:textId="77777777" w:rsidR="002E0961" w:rsidRDefault="002E0961">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B0E1324" w14:textId="77777777" w:rsidR="002E0961" w:rsidRDefault="002E0961">
            <w:pPr>
              <w:keepNext/>
            </w:pPr>
          </w:p>
        </w:tc>
        <w:tc>
          <w:tcPr>
            <w:tcW w:w="1800" w:type="dxa"/>
            <w:gridSpan w:val="3"/>
            <w:tcBorders>
              <w:top w:val="double" w:sz="8" w:space="0" w:color="000000"/>
              <w:left w:val="nil"/>
              <w:bottom w:val="nil"/>
              <w:right w:val="nil"/>
            </w:tcBorders>
            <w:shd w:val="clear" w:color="auto" w:fill="FFFFFF"/>
            <w:tcMar>
              <w:top w:w="0" w:type="dxa"/>
              <w:left w:w="0" w:type="dxa"/>
              <w:bottom w:w="0" w:type="dxa"/>
              <w:right w:w="0" w:type="dxa"/>
            </w:tcMar>
            <w:vAlign w:val="bottom"/>
          </w:tcPr>
          <w:p w14:paraId="56011009" w14:textId="77777777" w:rsidR="002E0961" w:rsidRDefault="002E0961">
            <w:pPr>
              <w:keepNext/>
            </w:pPr>
          </w:p>
        </w:tc>
      </w:tr>
      <w:tr w:rsidR="002E0961" w14:paraId="0E6E730B" w14:textId="77777777">
        <w:trPr>
          <w:cantSplit/>
          <w:trHeight w:hRule="exact" w:val="300"/>
        </w:trPr>
        <w:tc>
          <w:tcPr>
            <w:tcW w:w="6000" w:type="dxa"/>
            <w:tcBorders>
              <w:top w:val="nil"/>
              <w:left w:val="nil"/>
              <w:bottom w:val="nil"/>
              <w:right w:val="nil"/>
            </w:tcBorders>
            <w:shd w:val="clear" w:color="auto" w:fill="CCEEFF"/>
            <w:tcMar>
              <w:top w:w="0" w:type="dxa"/>
              <w:left w:w="53" w:type="dxa"/>
              <w:bottom w:w="0" w:type="dxa"/>
              <w:right w:w="53" w:type="dxa"/>
            </w:tcMar>
            <w:vAlign w:val="bottom"/>
          </w:tcPr>
          <w:p w14:paraId="4EBE0950" w14:textId="77777777" w:rsidR="002E0961" w:rsidRDefault="00BD0E60">
            <w:pPr>
              <w:keepNext/>
              <w:spacing w:before="75" w:after="30" w:line="200" w:lineRule="auto"/>
            </w:pPr>
            <w:r>
              <w:rPr>
                <w:color w:val="000000"/>
                <w:sz w:val="20"/>
              </w:rPr>
              <w:t>Net income per Limited Partner Unit:</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6B7815FB" w14:textId="77777777" w:rsidR="002E0961" w:rsidRDefault="002E0961">
            <w:pPr>
              <w:keepNext/>
            </w:pPr>
          </w:p>
        </w:tc>
        <w:tc>
          <w:tcPr>
            <w:tcW w:w="1755" w:type="dxa"/>
            <w:gridSpan w:val="3"/>
            <w:tcBorders>
              <w:top w:val="nil"/>
              <w:left w:val="nil"/>
              <w:bottom w:val="nil"/>
              <w:right w:val="nil"/>
            </w:tcBorders>
            <w:shd w:val="clear" w:color="auto" w:fill="CCEEFF"/>
            <w:tcMar>
              <w:top w:w="0" w:type="dxa"/>
              <w:left w:w="0" w:type="dxa"/>
              <w:bottom w:w="0" w:type="dxa"/>
              <w:right w:w="0" w:type="dxa"/>
            </w:tcMar>
            <w:vAlign w:val="bottom"/>
          </w:tcPr>
          <w:p w14:paraId="78F03FCE" w14:textId="77777777" w:rsidR="002E0961" w:rsidRDefault="002E0961">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3CCCB55" w14:textId="77777777" w:rsidR="002E0961" w:rsidRDefault="002E0961">
            <w:pPr>
              <w:keepNext/>
            </w:pPr>
          </w:p>
        </w:tc>
        <w:tc>
          <w:tcPr>
            <w:tcW w:w="1800" w:type="dxa"/>
            <w:gridSpan w:val="3"/>
            <w:tcBorders>
              <w:top w:val="nil"/>
              <w:left w:val="nil"/>
              <w:bottom w:val="nil"/>
              <w:right w:val="nil"/>
            </w:tcBorders>
            <w:shd w:val="clear" w:color="auto" w:fill="CCEEFF"/>
            <w:tcMar>
              <w:top w:w="0" w:type="dxa"/>
              <w:left w:w="0" w:type="dxa"/>
              <w:bottom w:w="0" w:type="dxa"/>
              <w:right w:w="0" w:type="dxa"/>
            </w:tcMar>
            <w:vAlign w:val="bottom"/>
          </w:tcPr>
          <w:p w14:paraId="52A13B58" w14:textId="77777777" w:rsidR="002E0961" w:rsidRDefault="002E0961">
            <w:pPr>
              <w:keepNext/>
            </w:pPr>
          </w:p>
        </w:tc>
      </w:tr>
      <w:tr w:rsidR="002E0961" w14:paraId="0E158F58" w14:textId="77777777">
        <w:trPr>
          <w:cantSplit/>
          <w:trHeight w:hRule="exact" w:val="300"/>
        </w:trPr>
        <w:tc>
          <w:tcPr>
            <w:tcW w:w="6000" w:type="dxa"/>
            <w:tcBorders>
              <w:top w:val="nil"/>
              <w:left w:val="nil"/>
              <w:bottom w:val="nil"/>
              <w:right w:val="nil"/>
            </w:tcBorders>
            <w:shd w:val="clear" w:color="auto" w:fill="FFFFFF"/>
            <w:tcMar>
              <w:top w:w="0" w:type="dxa"/>
              <w:left w:w="53" w:type="dxa"/>
              <w:bottom w:w="0" w:type="dxa"/>
              <w:right w:w="53" w:type="dxa"/>
            </w:tcMar>
            <w:vAlign w:val="bottom"/>
          </w:tcPr>
          <w:p w14:paraId="3E4018D4" w14:textId="77777777" w:rsidR="002E0961" w:rsidRDefault="00BD0E60">
            <w:pPr>
              <w:keepNext/>
              <w:spacing w:before="75" w:after="30" w:line="200" w:lineRule="auto"/>
            </w:pPr>
            <w:r>
              <w:rPr>
                <w:color w:val="000000"/>
                <w:sz w:val="20"/>
              </w:rPr>
              <w:t>Common - Basic</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3C0560D2" w14:textId="77777777" w:rsidR="002E0961" w:rsidRDefault="002E0961">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35603008" w14:textId="77777777" w:rsidR="002E0961" w:rsidRDefault="00BD0E60">
            <w:pPr>
              <w:keepNext/>
              <w:spacing w:before="75" w:after="30" w:line="200" w:lineRule="auto"/>
            </w:pPr>
            <w:r>
              <w:rPr>
                <w:color w:val="000000"/>
                <w:sz w:val="20"/>
              </w:rPr>
              <w:t>$</w:t>
            </w:r>
          </w:p>
        </w:tc>
        <w:tc>
          <w:tcPr>
            <w:tcW w:w="1495" w:type="dxa"/>
            <w:tcBorders>
              <w:top w:val="nil"/>
              <w:left w:val="nil"/>
              <w:bottom w:val="nil"/>
              <w:right w:val="nil"/>
            </w:tcBorders>
            <w:shd w:val="clear" w:color="auto" w:fill="FFFFFF"/>
            <w:tcMar>
              <w:top w:w="0" w:type="dxa"/>
              <w:left w:w="0" w:type="dxa"/>
              <w:bottom w:w="0" w:type="dxa"/>
              <w:right w:w="0" w:type="dxa"/>
            </w:tcMar>
            <w:vAlign w:val="bottom"/>
          </w:tcPr>
          <w:p w14:paraId="461F7148" w14:textId="77777777" w:rsidR="002E0961" w:rsidRDefault="00BD0E60">
            <w:pPr>
              <w:keepNext/>
              <w:spacing w:before="75" w:after="30" w:line="200" w:lineRule="auto"/>
              <w:jc w:val="right"/>
            </w:pPr>
            <w:r>
              <w:rPr>
                <w:color w:val="000000"/>
                <w:sz w:val="20"/>
              </w:rPr>
              <w:t>0.31 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F49B0D9"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9123892" w14:textId="77777777" w:rsidR="002E0961" w:rsidRDefault="002E0961">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1B10F44F" w14:textId="77777777" w:rsidR="002E0961" w:rsidRDefault="00BD0E60">
            <w:pPr>
              <w:keepNext/>
              <w:spacing w:before="75" w:after="30" w:line="200" w:lineRule="auto"/>
            </w:pPr>
            <w:r>
              <w:rPr>
                <w:color w:val="000000"/>
                <w:sz w:val="20"/>
              </w:rPr>
              <w:t>$</w:t>
            </w:r>
          </w:p>
        </w:tc>
        <w:tc>
          <w:tcPr>
            <w:tcW w:w="1540" w:type="dxa"/>
            <w:tcBorders>
              <w:top w:val="nil"/>
              <w:left w:val="nil"/>
              <w:bottom w:val="nil"/>
              <w:right w:val="nil"/>
            </w:tcBorders>
            <w:shd w:val="clear" w:color="auto" w:fill="FFFFFF"/>
            <w:tcMar>
              <w:top w:w="0" w:type="dxa"/>
              <w:left w:w="0" w:type="dxa"/>
              <w:bottom w:w="0" w:type="dxa"/>
              <w:right w:w="0" w:type="dxa"/>
            </w:tcMar>
            <w:vAlign w:val="bottom"/>
          </w:tcPr>
          <w:p w14:paraId="7479482C" w14:textId="77777777" w:rsidR="002E0961" w:rsidRDefault="00BD0E60">
            <w:pPr>
              <w:keepNext/>
              <w:spacing w:before="75" w:after="30" w:line="200" w:lineRule="auto"/>
              <w:jc w:val="right"/>
            </w:pPr>
            <w:r>
              <w:rPr>
                <w:color w:val="000000"/>
                <w:sz w:val="20"/>
              </w:rPr>
              <w:t>0.33 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BD2B924" w14:textId="77777777" w:rsidR="002E0961" w:rsidRDefault="002E0961">
            <w:pPr>
              <w:keepNext/>
              <w:spacing w:before="75" w:after="30" w:line="200" w:lineRule="auto"/>
            </w:pPr>
          </w:p>
        </w:tc>
      </w:tr>
      <w:tr w:rsidR="002E0961" w14:paraId="7B59B419" w14:textId="77777777">
        <w:trPr>
          <w:cantSplit/>
          <w:trHeight w:hRule="exact" w:val="300"/>
        </w:trPr>
        <w:tc>
          <w:tcPr>
            <w:tcW w:w="6000" w:type="dxa"/>
            <w:tcBorders>
              <w:top w:val="nil"/>
              <w:left w:val="nil"/>
              <w:bottom w:val="nil"/>
              <w:right w:val="nil"/>
            </w:tcBorders>
            <w:shd w:val="clear" w:color="auto" w:fill="CCEEFF"/>
            <w:tcMar>
              <w:top w:w="0" w:type="dxa"/>
              <w:left w:w="53" w:type="dxa"/>
              <w:bottom w:w="0" w:type="dxa"/>
              <w:right w:w="53" w:type="dxa"/>
            </w:tcMar>
            <w:vAlign w:val="bottom"/>
          </w:tcPr>
          <w:p w14:paraId="6C28E0C8" w14:textId="77777777" w:rsidR="002E0961" w:rsidRDefault="00BD0E60">
            <w:pPr>
              <w:keepNext/>
              <w:spacing w:before="75" w:after="30" w:line="200" w:lineRule="auto"/>
            </w:pPr>
            <w:r>
              <w:rPr>
                <w:color w:val="000000"/>
                <w:sz w:val="20"/>
              </w:rPr>
              <w:t>Common - Diluted</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7744533C" w14:textId="77777777" w:rsidR="002E0961" w:rsidRDefault="002E0961">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133A2B4C" w14:textId="77777777" w:rsidR="002E0961" w:rsidRDefault="00BD0E60">
            <w:pPr>
              <w:keepNext/>
              <w:spacing w:before="75" w:after="30" w:line="200" w:lineRule="auto"/>
            </w:pPr>
            <w:r>
              <w:rPr>
                <w:color w:val="000000"/>
                <w:sz w:val="20"/>
              </w:rPr>
              <w:t>$</w:t>
            </w:r>
          </w:p>
        </w:tc>
        <w:tc>
          <w:tcPr>
            <w:tcW w:w="1495" w:type="dxa"/>
            <w:tcBorders>
              <w:top w:val="nil"/>
              <w:left w:val="nil"/>
              <w:bottom w:val="nil"/>
              <w:right w:val="nil"/>
            </w:tcBorders>
            <w:shd w:val="clear" w:color="auto" w:fill="CCEEFF"/>
            <w:tcMar>
              <w:top w:w="0" w:type="dxa"/>
              <w:left w:w="0" w:type="dxa"/>
              <w:bottom w:w="0" w:type="dxa"/>
              <w:right w:w="0" w:type="dxa"/>
            </w:tcMar>
            <w:vAlign w:val="bottom"/>
          </w:tcPr>
          <w:p w14:paraId="399BB7E2" w14:textId="77777777" w:rsidR="002E0961" w:rsidRDefault="00BD0E60">
            <w:pPr>
              <w:keepNext/>
              <w:spacing w:before="75" w:after="30" w:line="200" w:lineRule="auto"/>
              <w:jc w:val="right"/>
            </w:pPr>
            <w:r>
              <w:rPr>
                <w:color w:val="000000"/>
                <w:sz w:val="20"/>
              </w:rPr>
              <w:t>0.30 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5EA3890"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588AF86" w14:textId="77777777" w:rsidR="002E0961" w:rsidRDefault="002E0961">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07C27EE6" w14:textId="77777777" w:rsidR="002E0961" w:rsidRDefault="00BD0E60">
            <w:pPr>
              <w:keepNext/>
              <w:spacing w:before="75" w:after="30" w:line="200" w:lineRule="auto"/>
            </w:pPr>
            <w:r>
              <w:rPr>
                <w:color w:val="000000"/>
                <w:sz w:val="20"/>
              </w:rPr>
              <w:t>$</w:t>
            </w:r>
          </w:p>
        </w:tc>
        <w:tc>
          <w:tcPr>
            <w:tcW w:w="1540" w:type="dxa"/>
            <w:tcBorders>
              <w:top w:val="nil"/>
              <w:left w:val="nil"/>
              <w:bottom w:val="nil"/>
              <w:right w:val="nil"/>
            </w:tcBorders>
            <w:shd w:val="clear" w:color="auto" w:fill="CCEEFF"/>
            <w:tcMar>
              <w:top w:w="0" w:type="dxa"/>
              <w:left w:w="0" w:type="dxa"/>
              <w:bottom w:w="0" w:type="dxa"/>
              <w:right w:w="0" w:type="dxa"/>
            </w:tcMar>
            <w:vAlign w:val="bottom"/>
          </w:tcPr>
          <w:p w14:paraId="4B8B0184" w14:textId="77777777" w:rsidR="002E0961" w:rsidRDefault="00BD0E60">
            <w:pPr>
              <w:keepNext/>
              <w:spacing w:before="75" w:after="30" w:line="200" w:lineRule="auto"/>
              <w:jc w:val="right"/>
            </w:pPr>
            <w:r>
              <w:rPr>
                <w:color w:val="000000"/>
                <w:sz w:val="20"/>
              </w:rPr>
              <w:t>0.32 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EC5F521" w14:textId="77777777" w:rsidR="002E0961" w:rsidRDefault="002E0961">
            <w:pPr>
              <w:keepNext/>
              <w:spacing w:before="75" w:after="30" w:line="200" w:lineRule="auto"/>
            </w:pPr>
          </w:p>
        </w:tc>
      </w:tr>
      <w:tr w:rsidR="002E0961" w14:paraId="5F6895FA" w14:textId="77777777">
        <w:trPr>
          <w:cantSplit/>
          <w:trHeight w:hRule="exact" w:val="300"/>
        </w:trPr>
        <w:tc>
          <w:tcPr>
            <w:tcW w:w="6000" w:type="dxa"/>
            <w:tcBorders>
              <w:top w:val="nil"/>
              <w:left w:val="nil"/>
              <w:bottom w:val="nil"/>
              <w:right w:val="nil"/>
            </w:tcBorders>
            <w:shd w:val="clear" w:color="auto" w:fill="FFFFFF"/>
            <w:tcMar>
              <w:top w:w="0" w:type="dxa"/>
              <w:left w:w="0" w:type="dxa"/>
              <w:bottom w:w="0" w:type="dxa"/>
              <w:right w:w="0" w:type="dxa"/>
            </w:tcMar>
            <w:vAlign w:val="bottom"/>
          </w:tcPr>
          <w:p w14:paraId="3B5F1D5E" w14:textId="77777777" w:rsidR="002E0961" w:rsidRDefault="002E0961">
            <w:pPr>
              <w:keepNext/>
            </w:pP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4AF66368" w14:textId="77777777" w:rsidR="002E0961" w:rsidRDefault="002E0961">
            <w:pPr>
              <w:keepNext/>
            </w:pPr>
          </w:p>
        </w:tc>
        <w:tc>
          <w:tcPr>
            <w:tcW w:w="1755" w:type="dxa"/>
            <w:gridSpan w:val="3"/>
            <w:tcBorders>
              <w:top w:val="nil"/>
              <w:left w:val="nil"/>
              <w:bottom w:val="nil"/>
              <w:right w:val="nil"/>
            </w:tcBorders>
            <w:shd w:val="clear" w:color="auto" w:fill="FFFFFF"/>
            <w:tcMar>
              <w:top w:w="0" w:type="dxa"/>
              <w:left w:w="0" w:type="dxa"/>
              <w:bottom w:w="0" w:type="dxa"/>
              <w:right w:w="0" w:type="dxa"/>
            </w:tcMar>
            <w:vAlign w:val="bottom"/>
          </w:tcPr>
          <w:p w14:paraId="695078D3" w14:textId="77777777" w:rsidR="002E0961" w:rsidRDefault="002E0961">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F383402" w14:textId="77777777" w:rsidR="002E0961" w:rsidRDefault="002E0961">
            <w:pPr>
              <w:keepNext/>
            </w:pPr>
          </w:p>
        </w:tc>
        <w:tc>
          <w:tcPr>
            <w:tcW w:w="1800" w:type="dxa"/>
            <w:gridSpan w:val="3"/>
            <w:tcBorders>
              <w:top w:val="nil"/>
              <w:left w:val="nil"/>
              <w:bottom w:val="nil"/>
              <w:right w:val="nil"/>
            </w:tcBorders>
            <w:shd w:val="clear" w:color="auto" w:fill="FFFFFF"/>
            <w:tcMar>
              <w:top w:w="0" w:type="dxa"/>
              <w:left w:w="0" w:type="dxa"/>
              <w:bottom w:w="0" w:type="dxa"/>
              <w:right w:w="0" w:type="dxa"/>
            </w:tcMar>
            <w:vAlign w:val="bottom"/>
          </w:tcPr>
          <w:p w14:paraId="3A300625" w14:textId="77777777" w:rsidR="002E0961" w:rsidRDefault="002E0961">
            <w:pPr>
              <w:keepNext/>
            </w:pPr>
          </w:p>
        </w:tc>
      </w:tr>
      <w:tr w:rsidR="002E0961" w14:paraId="2806EFD7" w14:textId="77777777">
        <w:trPr>
          <w:cantSplit/>
          <w:trHeight w:hRule="exact" w:val="450"/>
        </w:trPr>
        <w:tc>
          <w:tcPr>
            <w:tcW w:w="6000" w:type="dxa"/>
            <w:tcBorders>
              <w:top w:val="nil"/>
              <w:left w:val="nil"/>
              <w:bottom w:val="nil"/>
              <w:right w:val="nil"/>
            </w:tcBorders>
            <w:shd w:val="clear" w:color="auto" w:fill="CCEEFF"/>
            <w:tcMar>
              <w:top w:w="0" w:type="dxa"/>
              <w:left w:w="53" w:type="dxa"/>
              <w:bottom w:w="0" w:type="dxa"/>
              <w:right w:w="53" w:type="dxa"/>
            </w:tcMar>
            <w:vAlign w:val="bottom"/>
          </w:tcPr>
          <w:p w14:paraId="4A4E7E2C" w14:textId="77777777" w:rsidR="002E0961" w:rsidRDefault="00BD0E60">
            <w:pPr>
              <w:keepNext/>
              <w:spacing w:before="75" w:after="30" w:line="200" w:lineRule="auto"/>
            </w:pPr>
            <w:r>
              <w:rPr>
                <w:color w:val="000000"/>
                <w:sz w:val="20"/>
              </w:rPr>
              <w:t>Weighted average Limited Partner Units outstanding:</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404B3C78" w14:textId="77777777" w:rsidR="002E0961" w:rsidRDefault="002E0961">
            <w:pPr>
              <w:keepNext/>
            </w:pPr>
          </w:p>
        </w:tc>
        <w:tc>
          <w:tcPr>
            <w:tcW w:w="1755" w:type="dxa"/>
            <w:gridSpan w:val="3"/>
            <w:tcBorders>
              <w:top w:val="nil"/>
              <w:left w:val="nil"/>
              <w:bottom w:val="nil"/>
              <w:right w:val="nil"/>
            </w:tcBorders>
            <w:shd w:val="clear" w:color="auto" w:fill="CCEEFF"/>
            <w:tcMar>
              <w:top w:w="0" w:type="dxa"/>
              <w:left w:w="0" w:type="dxa"/>
              <w:bottom w:w="0" w:type="dxa"/>
              <w:right w:w="0" w:type="dxa"/>
            </w:tcMar>
            <w:vAlign w:val="bottom"/>
          </w:tcPr>
          <w:p w14:paraId="215BA34F" w14:textId="77777777" w:rsidR="002E0961" w:rsidRDefault="002E0961">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394CDC3" w14:textId="77777777" w:rsidR="002E0961" w:rsidRDefault="002E0961">
            <w:pPr>
              <w:keepNext/>
            </w:pPr>
          </w:p>
        </w:tc>
        <w:tc>
          <w:tcPr>
            <w:tcW w:w="1800" w:type="dxa"/>
            <w:gridSpan w:val="3"/>
            <w:tcBorders>
              <w:top w:val="nil"/>
              <w:left w:val="nil"/>
              <w:bottom w:val="nil"/>
              <w:right w:val="nil"/>
            </w:tcBorders>
            <w:shd w:val="clear" w:color="auto" w:fill="CCEEFF"/>
            <w:tcMar>
              <w:top w:w="0" w:type="dxa"/>
              <w:left w:w="0" w:type="dxa"/>
              <w:bottom w:w="0" w:type="dxa"/>
              <w:right w:w="0" w:type="dxa"/>
            </w:tcMar>
            <w:vAlign w:val="bottom"/>
          </w:tcPr>
          <w:p w14:paraId="0EA6974C" w14:textId="77777777" w:rsidR="002E0961" w:rsidRDefault="002E0961">
            <w:pPr>
              <w:keepNext/>
            </w:pPr>
          </w:p>
        </w:tc>
      </w:tr>
      <w:tr w:rsidR="002E0961" w14:paraId="6F6EA653" w14:textId="77777777">
        <w:trPr>
          <w:cantSplit/>
          <w:trHeight w:hRule="exact" w:val="300"/>
        </w:trPr>
        <w:tc>
          <w:tcPr>
            <w:tcW w:w="6000" w:type="dxa"/>
            <w:tcBorders>
              <w:top w:val="nil"/>
              <w:left w:val="nil"/>
              <w:bottom w:val="nil"/>
              <w:right w:val="nil"/>
            </w:tcBorders>
            <w:shd w:val="clear" w:color="auto" w:fill="FFFFFF"/>
            <w:tcMar>
              <w:top w:w="0" w:type="dxa"/>
              <w:left w:w="53" w:type="dxa"/>
              <w:bottom w:w="0" w:type="dxa"/>
              <w:right w:w="53" w:type="dxa"/>
            </w:tcMar>
            <w:vAlign w:val="bottom"/>
          </w:tcPr>
          <w:p w14:paraId="2D2BCB8C" w14:textId="77777777" w:rsidR="002E0961" w:rsidRDefault="00BD0E60">
            <w:pPr>
              <w:keepNext/>
              <w:spacing w:before="75" w:after="30" w:line="200" w:lineRule="auto"/>
            </w:pPr>
            <w:r>
              <w:rPr>
                <w:color w:val="000000"/>
                <w:sz w:val="20"/>
              </w:rPr>
              <w:t>Common units – public -basic</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042C756E" w14:textId="77777777" w:rsidR="002E0961" w:rsidRDefault="002E0961">
            <w:pPr>
              <w:keepNext/>
            </w:pPr>
          </w:p>
        </w:tc>
        <w:tc>
          <w:tcPr>
            <w:tcW w:w="1655" w:type="dxa"/>
            <w:gridSpan w:val="2"/>
            <w:tcBorders>
              <w:top w:val="nil"/>
              <w:left w:val="nil"/>
              <w:bottom w:val="nil"/>
              <w:right w:val="nil"/>
            </w:tcBorders>
            <w:shd w:val="clear" w:color="auto" w:fill="FFFFFF"/>
            <w:tcMar>
              <w:top w:w="0" w:type="dxa"/>
              <w:left w:w="53" w:type="dxa"/>
              <w:bottom w:w="0" w:type="dxa"/>
              <w:right w:w="0" w:type="dxa"/>
            </w:tcMar>
            <w:vAlign w:val="bottom"/>
          </w:tcPr>
          <w:p w14:paraId="38A1BFF3" w14:textId="77777777" w:rsidR="002E0961" w:rsidRDefault="00BD0E60">
            <w:pPr>
              <w:keepNext/>
              <w:spacing w:before="75" w:after="30" w:line="200" w:lineRule="auto"/>
              <w:jc w:val="right"/>
            </w:pPr>
            <w:r>
              <w:rPr>
                <w:color w:val="000000"/>
                <w:sz w:val="20"/>
              </w:rPr>
              <w:t>123.8 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04D8F97"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A8A642E" w14:textId="77777777" w:rsidR="002E0961" w:rsidRDefault="002E0961">
            <w:pPr>
              <w:keepNext/>
            </w:pPr>
          </w:p>
        </w:tc>
        <w:tc>
          <w:tcPr>
            <w:tcW w:w="1700" w:type="dxa"/>
            <w:gridSpan w:val="2"/>
            <w:tcBorders>
              <w:top w:val="nil"/>
              <w:left w:val="nil"/>
              <w:bottom w:val="nil"/>
              <w:right w:val="nil"/>
            </w:tcBorders>
            <w:shd w:val="clear" w:color="auto" w:fill="FFFFFF"/>
            <w:tcMar>
              <w:top w:w="0" w:type="dxa"/>
              <w:left w:w="53" w:type="dxa"/>
              <w:bottom w:w="0" w:type="dxa"/>
              <w:right w:w="0" w:type="dxa"/>
            </w:tcMar>
            <w:vAlign w:val="bottom"/>
          </w:tcPr>
          <w:p w14:paraId="1A3207C3" w14:textId="77777777" w:rsidR="002E0961" w:rsidRDefault="00BD0E60">
            <w:pPr>
              <w:keepNext/>
              <w:spacing w:before="75" w:after="30" w:line="200" w:lineRule="auto"/>
              <w:jc w:val="right"/>
            </w:pPr>
            <w:r>
              <w:rPr>
                <w:color w:val="000000"/>
                <w:sz w:val="20"/>
              </w:rPr>
              <w:t>123.8 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C608F85" w14:textId="77777777" w:rsidR="002E0961" w:rsidRDefault="002E0961">
            <w:pPr>
              <w:keepNext/>
              <w:spacing w:before="75" w:after="30" w:line="200" w:lineRule="auto"/>
            </w:pPr>
          </w:p>
        </w:tc>
      </w:tr>
      <w:tr w:rsidR="002E0961" w14:paraId="5780F311" w14:textId="77777777">
        <w:trPr>
          <w:cantSplit/>
          <w:trHeight w:hRule="exact" w:val="300"/>
        </w:trPr>
        <w:tc>
          <w:tcPr>
            <w:tcW w:w="6000" w:type="dxa"/>
            <w:tcBorders>
              <w:top w:val="nil"/>
              <w:left w:val="nil"/>
              <w:bottom w:val="nil"/>
              <w:right w:val="nil"/>
            </w:tcBorders>
            <w:shd w:val="clear" w:color="auto" w:fill="CCEEFF"/>
            <w:tcMar>
              <w:top w:w="0" w:type="dxa"/>
              <w:left w:w="53" w:type="dxa"/>
              <w:bottom w:w="0" w:type="dxa"/>
              <w:right w:w="53" w:type="dxa"/>
            </w:tcMar>
            <w:vAlign w:val="bottom"/>
          </w:tcPr>
          <w:p w14:paraId="02EFA329" w14:textId="77777777" w:rsidR="002E0961" w:rsidRDefault="00BD0E60">
            <w:pPr>
              <w:keepNext/>
              <w:spacing w:before="75" w:after="30" w:line="200" w:lineRule="auto"/>
            </w:pPr>
            <w:r>
              <w:rPr>
                <w:color w:val="000000"/>
                <w:sz w:val="20"/>
              </w:rPr>
              <w:t>Common units – SPLC -basic</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3E5309AD" w14:textId="77777777" w:rsidR="002E0961" w:rsidRDefault="002E0961">
            <w:pPr>
              <w:keepNext/>
            </w:pPr>
          </w:p>
        </w:tc>
        <w:tc>
          <w:tcPr>
            <w:tcW w:w="1655" w:type="dxa"/>
            <w:gridSpan w:val="2"/>
            <w:tcBorders>
              <w:top w:val="nil"/>
              <w:left w:val="nil"/>
              <w:bottom w:val="nil"/>
              <w:right w:val="nil"/>
            </w:tcBorders>
            <w:shd w:val="clear" w:color="auto" w:fill="CCEEFF"/>
            <w:tcMar>
              <w:top w:w="0" w:type="dxa"/>
              <w:left w:w="53" w:type="dxa"/>
              <w:bottom w:w="0" w:type="dxa"/>
              <w:right w:w="0" w:type="dxa"/>
            </w:tcMar>
            <w:vAlign w:val="bottom"/>
          </w:tcPr>
          <w:p w14:paraId="12A70B05" w14:textId="77777777" w:rsidR="002E0961" w:rsidRDefault="00BD0E60">
            <w:pPr>
              <w:keepNext/>
              <w:spacing w:before="75" w:after="30" w:line="200" w:lineRule="auto"/>
              <w:jc w:val="right"/>
            </w:pPr>
            <w:r>
              <w:rPr>
                <w:color w:val="000000"/>
                <w:sz w:val="20"/>
              </w:rPr>
              <w:t>269.5 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D5E68C7"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9E66958" w14:textId="77777777" w:rsidR="002E0961" w:rsidRDefault="002E0961">
            <w:pPr>
              <w:keepNext/>
            </w:pPr>
          </w:p>
        </w:tc>
        <w:tc>
          <w:tcPr>
            <w:tcW w:w="1700" w:type="dxa"/>
            <w:gridSpan w:val="2"/>
            <w:tcBorders>
              <w:top w:val="nil"/>
              <w:left w:val="nil"/>
              <w:bottom w:val="nil"/>
              <w:right w:val="nil"/>
            </w:tcBorders>
            <w:shd w:val="clear" w:color="auto" w:fill="CCEEFF"/>
            <w:tcMar>
              <w:top w:w="0" w:type="dxa"/>
              <w:left w:w="53" w:type="dxa"/>
              <w:bottom w:w="0" w:type="dxa"/>
              <w:right w:w="0" w:type="dxa"/>
            </w:tcMar>
            <w:vAlign w:val="bottom"/>
          </w:tcPr>
          <w:p w14:paraId="376420A6" w14:textId="77777777" w:rsidR="002E0961" w:rsidRDefault="00BD0E60">
            <w:pPr>
              <w:keepNext/>
              <w:spacing w:before="75" w:after="30" w:line="200" w:lineRule="auto"/>
              <w:jc w:val="right"/>
            </w:pPr>
            <w:r>
              <w:rPr>
                <w:color w:val="000000"/>
                <w:sz w:val="20"/>
              </w:rPr>
              <w:t>269.5 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7454551" w14:textId="77777777" w:rsidR="002E0961" w:rsidRDefault="002E0961">
            <w:pPr>
              <w:keepNext/>
              <w:spacing w:before="75" w:after="30" w:line="200" w:lineRule="auto"/>
            </w:pPr>
          </w:p>
        </w:tc>
      </w:tr>
      <w:tr w:rsidR="002E0961" w14:paraId="06CBFBD2" w14:textId="77777777">
        <w:trPr>
          <w:cantSplit/>
          <w:trHeight w:hRule="exact" w:val="300"/>
        </w:trPr>
        <w:tc>
          <w:tcPr>
            <w:tcW w:w="6000" w:type="dxa"/>
            <w:tcBorders>
              <w:top w:val="nil"/>
              <w:left w:val="nil"/>
              <w:bottom w:val="nil"/>
              <w:right w:val="nil"/>
            </w:tcBorders>
            <w:shd w:val="clear" w:color="auto" w:fill="FFFFFF"/>
            <w:tcMar>
              <w:top w:w="0" w:type="dxa"/>
              <w:left w:w="53" w:type="dxa"/>
              <w:bottom w:w="0" w:type="dxa"/>
              <w:right w:w="53" w:type="dxa"/>
            </w:tcMar>
            <w:vAlign w:val="bottom"/>
          </w:tcPr>
          <w:p w14:paraId="08F9A753" w14:textId="77777777" w:rsidR="002E0961" w:rsidRDefault="00BD0E60">
            <w:pPr>
              <w:keepNext/>
              <w:spacing w:before="75" w:after="30" w:line="200" w:lineRule="auto"/>
            </w:pPr>
            <w:r>
              <w:rPr>
                <w:color w:val="000000"/>
                <w:sz w:val="20"/>
              </w:rPr>
              <w:t>Common units – public -dilutive</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6C94CDF4" w14:textId="77777777" w:rsidR="002E0961" w:rsidRDefault="002E0961">
            <w:pPr>
              <w:keepNext/>
            </w:pPr>
          </w:p>
        </w:tc>
        <w:tc>
          <w:tcPr>
            <w:tcW w:w="1655" w:type="dxa"/>
            <w:gridSpan w:val="2"/>
            <w:tcBorders>
              <w:top w:val="nil"/>
              <w:left w:val="nil"/>
              <w:bottom w:val="nil"/>
              <w:right w:val="nil"/>
            </w:tcBorders>
            <w:shd w:val="clear" w:color="auto" w:fill="FFFFFF"/>
            <w:tcMar>
              <w:top w:w="0" w:type="dxa"/>
              <w:left w:w="53" w:type="dxa"/>
              <w:bottom w:w="0" w:type="dxa"/>
              <w:right w:w="0" w:type="dxa"/>
            </w:tcMar>
            <w:vAlign w:val="bottom"/>
          </w:tcPr>
          <w:p w14:paraId="23ADE953" w14:textId="77777777" w:rsidR="002E0961" w:rsidRDefault="00BD0E60">
            <w:pPr>
              <w:keepNext/>
              <w:spacing w:before="75" w:after="30" w:line="200" w:lineRule="auto"/>
              <w:jc w:val="right"/>
            </w:pPr>
            <w:r>
              <w:rPr>
                <w:color w:val="000000"/>
                <w:sz w:val="20"/>
              </w:rPr>
              <w:t>123.8 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1DCED57"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38A1ACA" w14:textId="77777777" w:rsidR="002E0961" w:rsidRDefault="002E0961">
            <w:pPr>
              <w:keepNext/>
            </w:pPr>
          </w:p>
        </w:tc>
        <w:tc>
          <w:tcPr>
            <w:tcW w:w="1700" w:type="dxa"/>
            <w:gridSpan w:val="2"/>
            <w:tcBorders>
              <w:top w:val="nil"/>
              <w:left w:val="nil"/>
              <w:bottom w:val="nil"/>
              <w:right w:val="nil"/>
            </w:tcBorders>
            <w:shd w:val="clear" w:color="auto" w:fill="FFFFFF"/>
            <w:tcMar>
              <w:top w:w="0" w:type="dxa"/>
              <w:left w:w="53" w:type="dxa"/>
              <w:bottom w:w="0" w:type="dxa"/>
              <w:right w:w="0" w:type="dxa"/>
            </w:tcMar>
            <w:vAlign w:val="bottom"/>
          </w:tcPr>
          <w:p w14:paraId="14329EB6" w14:textId="77777777" w:rsidR="002E0961" w:rsidRDefault="00BD0E60">
            <w:pPr>
              <w:keepNext/>
              <w:spacing w:before="75" w:after="30" w:line="200" w:lineRule="auto"/>
              <w:jc w:val="right"/>
            </w:pPr>
            <w:r>
              <w:rPr>
                <w:color w:val="000000"/>
                <w:sz w:val="20"/>
              </w:rPr>
              <w:t>123.8 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4FF722C" w14:textId="77777777" w:rsidR="002E0961" w:rsidRDefault="002E0961">
            <w:pPr>
              <w:keepNext/>
              <w:spacing w:before="75" w:after="30" w:line="200" w:lineRule="auto"/>
            </w:pPr>
          </w:p>
        </w:tc>
      </w:tr>
      <w:tr w:rsidR="002E0961" w14:paraId="566E1B88" w14:textId="77777777">
        <w:trPr>
          <w:cantSplit/>
          <w:trHeight w:hRule="exact" w:val="300"/>
        </w:trPr>
        <w:tc>
          <w:tcPr>
            <w:tcW w:w="6000" w:type="dxa"/>
            <w:tcBorders>
              <w:top w:val="nil"/>
              <w:left w:val="nil"/>
              <w:bottom w:val="nil"/>
              <w:right w:val="nil"/>
            </w:tcBorders>
            <w:shd w:val="clear" w:color="auto" w:fill="CCEEFF"/>
            <w:tcMar>
              <w:top w:w="0" w:type="dxa"/>
              <w:left w:w="53" w:type="dxa"/>
              <w:bottom w:w="0" w:type="dxa"/>
              <w:right w:w="53" w:type="dxa"/>
            </w:tcMar>
            <w:vAlign w:val="bottom"/>
          </w:tcPr>
          <w:p w14:paraId="5A886840" w14:textId="77777777" w:rsidR="002E0961" w:rsidRDefault="00BD0E60">
            <w:pPr>
              <w:spacing w:before="75" w:after="30" w:line="200" w:lineRule="auto"/>
            </w:pPr>
            <w:r>
              <w:rPr>
                <w:color w:val="000000"/>
                <w:sz w:val="20"/>
              </w:rPr>
              <w:t>Common units – SPLC -dilutive</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3E144B99" w14:textId="77777777" w:rsidR="002E0961" w:rsidRDefault="002E0961"/>
        </w:tc>
        <w:tc>
          <w:tcPr>
            <w:tcW w:w="1655" w:type="dxa"/>
            <w:gridSpan w:val="2"/>
            <w:tcBorders>
              <w:top w:val="nil"/>
              <w:left w:val="nil"/>
              <w:bottom w:val="nil"/>
              <w:right w:val="nil"/>
            </w:tcBorders>
            <w:shd w:val="clear" w:color="auto" w:fill="CCEEFF"/>
            <w:tcMar>
              <w:top w:w="0" w:type="dxa"/>
              <w:left w:w="53" w:type="dxa"/>
              <w:bottom w:w="0" w:type="dxa"/>
              <w:right w:w="0" w:type="dxa"/>
            </w:tcMar>
            <w:vAlign w:val="bottom"/>
          </w:tcPr>
          <w:p w14:paraId="2BA4F916" w14:textId="77777777" w:rsidR="002E0961" w:rsidRDefault="00BD0E60">
            <w:pPr>
              <w:spacing w:before="75" w:after="30" w:line="200" w:lineRule="auto"/>
              <w:jc w:val="right"/>
            </w:pPr>
            <w:r>
              <w:rPr>
                <w:color w:val="000000"/>
                <w:sz w:val="20"/>
              </w:rPr>
              <w:t>320.3 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2F485EC" w14:textId="77777777" w:rsidR="002E0961" w:rsidRDefault="002E0961">
            <w:pPr>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9C2B322" w14:textId="77777777" w:rsidR="002E0961" w:rsidRDefault="002E0961"/>
        </w:tc>
        <w:tc>
          <w:tcPr>
            <w:tcW w:w="1700" w:type="dxa"/>
            <w:gridSpan w:val="2"/>
            <w:tcBorders>
              <w:top w:val="nil"/>
              <w:left w:val="nil"/>
              <w:bottom w:val="nil"/>
              <w:right w:val="nil"/>
            </w:tcBorders>
            <w:shd w:val="clear" w:color="auto" w:fill="CCEEFF"/>
            <w:tcMar>
              <w:top w:w="0" w:type="dxa"/>
              <w:left w:w="53" w:type="dxa"/>
              <w:bottom w:w="0" w:type="dxa"/>
              <w:right w:w="0" w:type="dxa"/>
            </w:tcMar>
            <w:vAlign w:val="bottom"/>
          </w:tcPr>
          <w:p w14:paraId="2D5EF7B2" w14:textId="77777777" w:rsidR="002E0961" w:rsidRDefault="00BD0E60">
            <w:pPr>
              <w:spacing w:before="75" w:after="30" w:line="200" w:lineRule="auto"/>
              <w:jc w:val="right"/>
            </w:pPr>
            <w:r>
              <w:rPr>
                <w:color w:val="000000"/>
                <w:sz w:val="20"/>
              </w:rPr>
              <w:t>320.3 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F51210F" w14:textId="77777777" w:rsidR="002E0961" w:rsidRDefault="002E0961">
            <w:pPr>
              <w:spacing w:before="75" w:after="30" w:line="200" w:lineRule="auto"/>
            </w:pPr>
          </w:p>
        </w:tc>
      </w:tr>
    </w:tbl>
    <w:p w14:paraId="59231D80" w14:textId="77777777" w:rsidR="002E0961" w:rsidRDefault="00BD0E60">
      <w:pPr>
        <w:keepNext/>
        <w:spacing w:before="120" w:line="248" w:lineRule="auto"/>
        <w:ind w:left="180" w:hanging="270"/>
        <w:rPr>
          <w:sz w:val="18"/>
        </w:rPr>
      </w:pPr>
      <w:r>
        <w:rPr>
          <w:i/>
          <w:sz w:val="18"/>
          <w:vertAlign w:val="superscript"/>
        </w:rPr>
        <w:t>(1)</w:t>
      </w:r>
      <w:r>
        <w:rPr>
          <w:i/>
          <w:sz w:val="18"/>
        </w:rPr>
        <w:t xml:space="preserve"> Deferred revenue recognized for both the three months ended September 30, 2020 and  June 30, 2020, including the impact of </w:t>
      </w:r>
      <w:proofErr w:type="spellStart"/>
      <w:r>
        <w:rPr>
          <w:i/>
          <w:sz w:val="18"/>
        </w:rPr>
        <w:t>overshipments</w:t>
      </w:r>
      <w:proofErr w:type="spellEnd"/>
      <w:r>
        <w:rPr>
          <w:i/>
          <w:sz w:val="18"/>
        </w:rPr>
        <w:t xml:space="preserve"> and expiring credits if applicable, was $1 million.</w:t>
      </w:r>
    </w:p>
    <w:p w14:paraId="332FA353" w14:textId="77777777" w:rsidR="002E0961" w:rsidRDefault="00BD0E60">
      <w:pPr>
        <w:spacing w:line="248" w:lineRule="auto"/>
        <w:ind w:left="180" w:hanging="270"/>
        <w:rPr>
          <w:i/>
          <w:sz w:val="18"/>
        </w:rPr>
      </w:pPr>
      <w:r>
        <w:rPr>
          <w:i/>
          <w:sz w:val="18"/>
          <w:vertAlign w:val="superscript"/>
        </w:rPr>
        <w:t xml:space="preserve">(2) </w:t>
      </w:r>
      <w:r>
        <w:rPr>
          <w:i/>
          <w:sz w:val="18"/>
        </w:rPr>
        <w:t>Certain amounts for the three months ended June 30. 2020 have been reclassified for consistency with the current quarter presentation. These reclassifications had no effect on the reported results of operations.</w:t>
      </w:r>
    </w:p>
    <w:p w14:paraId="4599693D" w14:textId="77777777" w:rsidR="002E0961" w:rsidRDefault="002E0961">
      <w:pPr>
        <w:spacing w:line="248" w:lineRule="auto"/>
        <w:rPr>
          <w:i/>
          <w:sz w:val="20"/>
        </w:rPr>
      </w:pPr>
    </w:p>
    <w:p w14:paraId="29672AF1" w14:textId="77777777" w:rsidR="002E0961" w:rsidRDefault="002E0961">
      <w:pPr>
        <w:spacing w:line="248" w:lineRule="auto"/>
        <w:rPr>
          <w:i/>
          <w:sz w:val="20"/>
        </w:rPr>
      </w:pPr>
    </w:p>
    <w:p w14:paraId="75E73AF6" w14:textId="77777777" w:rsidR="002E0961" w:rsidRDefault="002E0961">
      <w:pPr>
        <w:spacing w:line="248" w:lineRule="auto"/>
        <w:rPr>
          <w:i/>
          <w:sz w:val="20"/>
        </w:rPr>
      </w:pPr>
    </w:p>
    <w:p w14:paraId="42CDE049" w14:textId="77777777" w:rsidR="002E0961" w:rsidRDefault="002E0961">
      <w:pPr>
        <w:spacing w:line="248" w:lineRule="auto"/>
        <w:rPr>
          <w:i/>
          <w:sz w:val="20"/>
        </w:rPr>
      </w:pPr>
    </w:p>
    <w:p w14:paraId="6F22202A" w14:textId="77777777" w:rsidR="002E0961" w:rsidRDefault="002E0961">
      <w:pPr>
        <w:pageBreakBefore/>
        <w:spacing w:line="248" w:lineRule="auto"/>
        <w:rPr>
          <w:rFonts w:ascii="Arial" w:eastAsia="Arial" w:hAnsi="Arial" w:cs="Arial"/>
        </w:rPr>
      </w:pPr>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3"/>
        <w:gridCol w:w="77"/>
        <w:gridCol w:w="163"/>
        <w:gridCol w:w="1525"/>
        <w:gridCol w:w="102"/>
        <w:gridCol w:w="77"/>
        <w:gridCol w:w="163"/>
        <w:gridCol w:w="1464"/>
        <w:gridCol w:w="102"/>
      </w:tblGrid>
      <w:tr w:rsidR="002E0961" w14:paraId="22297A21" w14:textId="77777777">
        <w:trPr>
          <w:cantSplit/>
          <w:trHeight w:hRule="exact" w:val="315"/>
          <w:jc w:val="center"/>
        </w:trPr>
        <w:tc>
          <w:tcPr>
            <w:tcW w:w="9525" w:type="dxa"/>
            <w:gridSpan w:val="9"/>
            <w:tcBorders>
              <w:top w:val="nil"/>
              <w:left w:val="nil"/>
              <w:bottom w:val="nil"/>
              <w:right w:val="nil"/>
            </w:tcBorders>
            <w:tcMar>
              <w:top w:w="0" w:type="dxa"/>
              <w:left w:w="53" w:type="dxa"/>
              <w:bottom w:w="0" w:type="dxa"/>
              <w:right w:w="53" w:type="dxa"/>
            </w:tcMar>
            <w:vAlign w:val="bottom"/>
          </w:tcPr>
          <w:p w14:paraId="0B38EEB0" w14:textId="77777777" w:rsidR="002E0961" w:rsidRDefault="00BD0E60">
            <w:pPr>
              <w:keepNext/>
              <w:spacing w:before="75" w:after="30" w:line="200" w:lineRule="auto"/>
            </w:pPr>
            <w:r>
              <w:rPr>
                <w:b/>
                <w:color w:val="000000"/>
                <w:sz w:val="22"/>
              </w:rPr>
              <w:t>Reconciliation of Adjusted EBITDA and Cash Available for Distribution to Net Income</w:t>
            </w:r>
          </w:p>
        </w:tc>
      </w:tr>
      <w:tr w:rsidR="002E0961" w14:paraId="449B84F6" w14:textId="77777777">
        <w:trPr>
          <w:cantSplit/>
          <w:trHeight w:hRule="exact" w:val="255"/>
          <w:jc w:val="center"/>
        </w:trPr>
        <w:tc>
          <w:tcPr>
            <w:tcW w:w="5925" w:type="dxa"/>
            <w:tcBorders>
              <w:top w:val="nil"/>
              <w:left w:val="nil"/>
              <w:bottom w:val="nil"/>
              <w:right w:val="nil"/>
            </w:tcBorders>
            <w:tcMar>
              <w:top w:w="0" w:type="dxa"/>
              <w:left w:w="0" w:type="dxa"/>
              <w:bottom w:w="0" w:type="dxa"/>
              <w:right w:w="0" w:type="dxa"/>
            </w:tcMar>
            <w:vAlign w:val="bottom"/>
          </w:tcPr>
          <w:p w14:paraId="2C3F1390" w14:textId="77777777" w:rsidR="002E0961" w:rsidRDefault="002E0961">
            <w:pPr>
              <w:keepNext/>
            </w:pPr>
          </w:p>
        </w:tc>
        <w:tc>
          <w:tcPr>
            <w:tcW w:w="75" w:type="dxa"/>
            <w:tcBorders>
              <w:top w:val="nil"/>
              <w:left w:val="nil"/>
              <w:bottom w:val="nil"/>
              <w:right w:val="nil"/>
            </w:tcBorders>
            <w:tcMar>
              <w:top w:w="0" w:type="dxa"/>
              <w:left w:w="0" w:type="dxa"/>
              <w:bottom w:w="0" w:type="dxa"/>
              <w:right w:w="0" w:type="dxa"/>
            </w:tcMar>
            <w:vAlign w:val="bottom"/>
          </w:tcPr>
          <w:p w14:paraId="0ADE5169" w14:textId="77777777" w:rsidR="002E0961" w:rsidRDefault="002E0961">
            <w:pPr>
              <w:keepNext/>
            </w:pPr>
          </w:p>
        </w:tc>
        <w:tc>
          <w:tcPr>
            <w:tcW w:w="3525" w:type="dxa"/>
            <w:gridSpan w:val="7"/>
            <w:tcBorders>
              <w:top w:val="nil"/>
              <w:left w:val="nil"/>
              <w:bottom w:val="nil"/>
              <w:right w:val="nil"/>
            </w:tcBorders>
            <w:tcMar>
              <w:top w:w="0" w:type="dxa"/>
              <w:left w:w="53" w:type="dxa"/>
              <w:bottom w:w="0" w:type="dxa"/>
              <w:right w:w="53" w:type="dxa"/>
            </w:tcMar>
            <w:vAlign w:val="bottom"/>
          </w:tcPr>
          <w:p w14:paraId="0DE5D14F" w14:textId="77777777" w:rsidR="002E0961" w:rsidRDefault="00BD0E60">
            <w:pPr>
              <w:keepNext/>
              <w:spacing w:before="75" w:after="30" w:line="200" w:lineRule="auto"/>
              <w:jc w:val="center"/>
            </w:pPr>
            <w:r>
              <w:rPr>
                <w:b/>
                <w:color w:val="000000"/>
                <w:sz w:val="16"/>
              </w:rPr>
              <w:t>For the Three Months Ended</w:t>
            </w:r>
          </w:p>
        </w:tc>
      </w:tr>
      <w:tr w:rsidR="002E0961" w14:paraId="6D21580F" w14:textId="77777777">
        <w:trPr>
          <w:cantSplit/>
          <w:trHeight w:hRule="exact" w:val="255"/>
          <w:jc w:val="center"/>
        </w:trPr>
        <w:tc>
          <w:tcPr>
            <w:tcW w:w="5925" w:type="dxa"/>
            <w:tcBorders>
              <w:top w:val="nil"/>
              <w:left w:val="nil"/>
              <w:bottom w:val="nil"/>
              <w:right w:val="nil"/>
            </w:tcBorders>
            <w:tcMar>
              <w:top w:w="0" w:type="dxa"/>
              <w:left w:w="53" w:type="dxa"/>
              <w:bottom w:w="0" w:type="dxa"/>
              <w:right w:w="53" w:type="dxa"/>
            </w:tcMar>
            <w:vAlign w:val="bottom"/>
          </w:tcPr>
          <w:p w14:paraId="1D48B33A" w14:textId="77777777" w:rsidR="002E0961" w:rsidRDefault="00BD0E60">
            <w:pPr>
              <w:keepNext/>
              <w:spacing w:before="75" w:after="30" w:line="200" w:lineRule="auto"/>
            </w:pPr>
            <w:r>
              <w:rPr>
                <w:b/>
                <w:color w:val="000000"/>
                <w:sz w:val="16"/>
              </w:rPr>
              <w:t>(in millions of dollars)</w:t>
            </w:r>
          </w:p>
        </w:tc>
        <w:tc>
          <w:tcPr>
            <w:tcW w:w="75" w:type="dxa"/>
            <w:tcBorders>
              <w:top w:val="nil"/>
              <w:left w:val="nil"/>
              <w:bottom w:val="nil"/>
              <w:right w:val="nil"/>
            </w:tcBorders>
            <w:tcMar>
              <w:top w:w="0" w:type="dxa"/>
              <w:left w:w="0" w:type="dxa"/>
              <w:bottom w:w="0" w:type="dxa"/>
              <w:right w:w="0" w:type="dxa"/>
            </w:tcMar>
            <w:vAlign w:val="bottom"/>
          </w:tcPr>
          <w:p w14:paraId="09107417" w14:textId="77777777" w:rsidR="002E0961" w:rsidRDefault="002E0961">
            <w:pPr>
              <w:keepNext/>
            </w:pPr>
          </w:p>
        </w:tc>
        <w:tc>
          <w:tcPr>
            <w:tcW w:w="175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57425CC9" w14:textId="77777777" w:rsidR="002E0961" w:rsidRDefault="00BD0E60">
            <w:pPr>
              <w:keepNext/>
              <w:spacing w:before="55" w:after="30" w:line="200" w:lineRule="auto"/>
              <w:jc w:val="center"/>
            </w:pPr>
            <w:r>
              <w:rPr>
                <w:b/>
                <w:color w:val="000000"/>
                <w:sz w:val="16"/>
              </w:rPr>
              <w:t>September 30, 2020</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27EE8155" w14:textId="77777777" w:rsidR="002E0961" w:rsidRDefault="002E0961">
            <w:pPr>
              <w:keepNext/>
            </w:pPr>
          </w:p>
        </w:tc>
        <w:tc>
          <w:tcPr>
            <w:tcW w:w="169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03E46C74" w14:textId="77777777" w:rsidR="002E0961" w:rsidRDefault="00BD0E60">
            <w:pPr>
              <w:keepNext/>
              <w:spacing w:before="55" w:after="30" w:line="200" w:lineRule="auto"/>
              <w:jc w:val="center"/>
            </w:pPr>
            <w:r>
              <w:rPr>
                <w:b/>
                <w:color w:val="000000"/>
                <w:sz w:val="16"/>
              </w:rPr>
              <w:t>June 30, 2020</w:t>
            </w:r>
          </w:p>
        </w:tc>
      </w:tr>
      <w:tr w:rsidR="002E0961" w14:paraId="52D6A52B" w14:textId="77777777">
        <w:trPr>
          <w:cantSplit/>
          <w:trHeight w:hRule="exact" w:val="300"/>
          <w:jc w:val="center"/>
        </w:trPr>
        <w:tc>
          <w:tcPr>
            <w:tcW w:w="5925" w:type="dxa"/>
            <w:tcBorders>
              <w:top w:val="nil"/>
              <w:left w:val="nil"/>
              <w:bottom w:val="nil"/>
              <w:right w:val="nil"/>
            </w:tcBorders>
            <w:shd w:val="clear" w:color="auto" w:fill="CCEEFF"/>
            <w:tcMar>
              <w:top w:w="0" w:type="dxa"/>
              <w:left w:w="53" w:type="dxa"/>
              <w:bottom w:w="0" w:type="dxa"/>
              <w:right w:w="53" w:type="dxa"/>
            </w:tcMar>
            <w:vAlign w:val="bottom"/>
          </w:tcPr>
          <w:p w14:paraId="333C20F3" w14:textId="77777777" w:rsidR="002E0961" w:rsidRDefault="00BD0E60">
            <w:pPr>
              <w:keepNext/>
              <w:spacing w:before="75" w:after="30" w:line="200" w:lineRule="auto"/>
            </w:pPr>
            <w:r>
              <w:rPr>
                <w:color w:val="000000"/>
                <w:sz w:val="20"/>
              </w:rPr>
              <w:t>Net income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4C8DA87" w14:textId="77777777" w:rsidR="002E0961" w:rsidRDefault="002E0961">
            <w:pPr>
              <w:keepNext/>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48743520" w14:textId="77777777" w:rsidR="002E0961" w:rsidRDefault="00BD0E60">
            <w:pPr>
              <w:keepNext/>
              <w:spacing w:before="55" w:after="30" w:line="200" w:lineRule="auto"/>
            </w:pPr>
            <w:r>
              <w:rPr>
                <w:color w:val="000000"/>
                <w:sz w:val="20"/>
              </w:rPr>
              <w:t>$</w:t>
            </w:r>
          </w:p>
        </w:tc>
        <w:tc>
          <w:tcPr>
            <w:tcW w:w="14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D26DC6D" w14:textId="77777777" w:rsidR="002E0961" w:rsidRDefault="00BD0E60">
            <w:pPr>
              <w:keepNext/>
              <w:spacing w:before="55" w:after="30" w:line="200" w:lineRule="auto"/>
              <w:jc w:val="right"/>
            </w:pPr>
            <w:r>
              <w:rPr>
                <w:color w:val="000000"/>
                <w:sz w:val="20"/>
              </w:rPr>
              <w:t>137 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6E3063B" w14:textId="77777777" w:rsidR="002E0961" w:rsidRDefault="002E0961">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E72EDF6" w14:textId="77777777" w:rsidR="002E0961" w:rsidRDefault="002E0961">
            <w:pPr>
              <w:keepNext/>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6A1FB8C0" w14:textId="77777777" w:rsidR="002E0961" w:rsidRDefault="00BD0E60">
            <w:pPr>
              <w:keepNext/>
              <w:spacing w:before="55" w:after="30" w:line="200" w:lineRule="auto"/>
            </w:pPr>
            <w:r>
              <w:rPr>
                <w:color w:val="000000"/>
                <w:sz w:val="20"/>
              </w:rPr>
              <w:t>$</w:t>
            </w:r>
          </w:p>
        </w:tc>
        <w:tc>
          <w:tcPr>
            <w:tcW w:w="143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DFF9B67" w14:textId="77777777" w:rsidR="002E0961" w:rsidRDefault="00BD0E60">
            <w:pPr>
              <w:keepNext/>
              <w:spacing w:before="55" w:after="30" w:line="200" w:lineRule="auto"/>
              <w:jc w:val="right"/>
            </w:pPr>
            <w:r>
              <w:rPr>
                <w:color w:val="000000"/>
                <w:sz w:val="20"/>
              </w:rPr>
              <w:t>144 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1F9AFB6" w14:textId="77777777" w:rsidR="002E0961" w:rsidRDefault="002E0961">
            <w:pPr>
              <w:keepNext/>
              <w:spacing w:before="55" w:after="30" w:line="200" w:lineRule="auto"/>
            </w:pPr>
          </w:p>
        </w:tc>
      </w:tr>
      <w:tr w:rsidR="002E0961" w14:paraId="729075C0" w14:textId="77777777">
        <w:trPr>
          <w:cantSplit/>
          <w:trHeight w:hRule="exact" w:val="300"/>
          <w:jc w:val="center"/>
        </w:trPr>
        <w:tc>
          <w:tcPr>
            <w:tcW w:w="5925" w:type="dxa"/>
            <w:tcBorders>
              <w:top w:val="nil"/>
              <w:left w:val="nil"/>
              <w:bottom w:val="nil"/>
              <w:right w:val="nil"/>
            </w:tcBorders>
            <w:shd w:val="clear" w:color="auto" w:fill="FFFFFF"/>
            <w:tcMar>
              <w:top w:w="0" w:type="dxa"/>
              <w:left w:w="53" w:type="dxa"/>
              <w:bottom w:w="0" w:type="dxa"/>
              <w:right w:w="53" w:type="dxa"/>
            </w:tcMar>
            <w:vAlign w:val="bottom"/>
          </w:tcPr>
          <w:p w14:paraId="0F8B4A7A" w14:textId="77777777" w:rsidR="002E0961" w:rsidRDefault="00BD0E60">
            <w:pPr>
              <w:keepNext/>
              <w:spacing w:before="75" w:after="30" w:line="200" w:lineRule="auto"/>
            </w:pPr>
            <w:r>
              <w:rPr>
                <w:color w:val="000000"/>
                <w:sz w:val="20"/>
              </w:rPr>
              <w:t>Add: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DB4D45A" w14:textId="77777777" w:rsidR="002E0961" w:rsidRDefault="002E0961">
            <w:pPr>
              <w:keepNext/>
            </w:pPr>
          </w:p>
        </w:tc>
        <w:tc>
          <w:tcPr>
            <w:tcW w:w="1755" w:type="dxa"/>
            <w:gridSpan w:val="3"/>
            <w:tcBorders>
              <w:top w:val="nil"/>
              <w:left w:val="nil"/>
              <w:bottom w:val="nil"/>
              <w:right w:val="nil"/>
            </w:tcBorders>
            <w:shd w:val="clear" w:color="auto" w:fill="FFFFFF"/>
            <w:tcMar>
              <w:top w:w="0" w:type="dxa"/>
              <w:left w:w="0" w:type="dxa"/>
              <w:bottom w:w="0" w:type="dxa"/>
              <w:right w:w="0" w:type="dxa"/>
            </w:tcMar>
            <w:vAlign w:val="bottom"/>
          </w:tcPr>
          <w:p w14:paraId="4D437D13" w14:textId="77777777" w:rsidR="002E0961" w:rsidRDefault="002E0961">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1222FD3" w14:textId="77777777" w:rsidR="002E0961" w:rsidRDefault="002E0961">
            <w:pPr>
              <w:keepNext/>
            </w:pPr>
          </w:p>
        </w:tc>
        <w:tc>
          <w:tcPr>
            <w:tcW w:w="1695" w:type="dxa"/>
            <w:gridSpan w:val="3"/>
            <w:tcBorders>
              <w:top w:val="nil"/>
              <w:left w:val="nil"/>
              <w:bottom w:val="nil"/>
              <w:right w:val="nil"/>
            </w:tcBorders>
            <w:shd w:val="clear" w:color="auto" w:fill="FFFFFF"/>
            <w:tcMar>
              <w:top w:w="0" w:type="dxa"/>
              <w:left w:w="0" w:type="dxa"/>
              <w:bottom w:w="0" w:type="dxa"/>
              <w:right w:w="0" w:type="dxa"/>
            </w:tcMar>
            <w:vAlign w:val="bottom"/>
          </w:tcPr>
          <w:p w14:paraId="0791770A" w14:textId="77777777" w:rsidR="002E0961" w:rsidRDefault="002E0961">
            <w:pPr>
              <w:keepNext/>
            </w:pPr>
          </w:p>
        </w:tc>
      </w:tr>
      <w:tr w:rsidR="002E0961" w14:paraId="3887336A" w14:textId="77777777">
        <w:trPr>
          <w:cantSplit/>
          <w:trHeight w:hRule="exact" w:val="300"/>
          <w:jc w:val="center"/>
        </w:trPr>
        <w:tc>
          <w:tcPr>
            <w:tcW w:w="5925" w:type="dxa"/>
            <w:tcBorders>
              <w:top w:val="nil"/>
              <w:left w:val="nil"/>
              <w:bottom w:val="nil"/>
              <w:right w:val="nil"/>
            </w:tcBorders>
            <w:shd w:val="clear" w:color="auto" w:fill="CCEEFF"/>
            <w:tcMar>
              <w:top w:w="0" w:type="dxa"/>
              <w:left w:w="53" w:type="dxa"/>
              <w:bottom w:w="0" w:type="dxa"/>
              <w:right w:w="53" w:type="dxa"/>
            </w:tcMar>
            <w:vAlign w:val="bottom"/>
          </w:tcPr>
          <w:p w14:paraId="2B022CA7" w14:textId="77777777" w:rsidR="002E0961" w:rsidRDefault="00BD0E60">
            <w:pPr>
              <w:keepNext/>
              <w:spacing w:before="75" w:after="30" w:line="200" w:lineRule="auto"/>
            </w:pPr>
            <w:r>
              <w:rPr>
                <w:color w:val="000000"/>
                <w:sz w:val="20"/>
              </w:rPr>
              <w:t>Depreciation, amortization and accretion</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D77DDB6" w14:textId="77777777" w:rsidR="002E0961" w:rsidRDefault="002E0961">
            <w:pPr>
              <w:keepNext/>
            </w:pPr>
          </w:p>
        </w:tc>
        <w:tc>
          <w:tcPr>
            <w:tcW w:w="1655" w:type="dxa"/>
            <w:gridSpan w:val="2"/>
            <w:tcBorders>
              <w:top w:val="nil"/>
              <w:left w:val="nil"/>
              <w:bottom w:val="nil"/>
              <w:right w:val="nil"/>
            </w:tcBorders>
            <w:shd w:val="clear" w:color="auto" w:fill="CCEEFF"/>
            <w:tcMar>
              <w:top w:w="0" w:type="dxa"/>
              <w:left w:w="53" w:type="dxa"/>
              <w:bottom w:w="0" w:type="dxa"/>
              <w:right w:w="0" w:type="dxa"/>
            </w:tcMar>
            <w:vAlign w:val="bottom"/>
          </w:tcPr>
          <w:p w14:paraId="4A8136D4" w14:textId="77777777" w:rsidR="002E0961" w:rsidRDefault="00BD0E60">
            <w:pPr>
              <w:keepNext/>
              <w:spacing w:before="75" w:after="30" w:line="200" w:lineRule="auto"/>
              <w:jc w:val="right"/>
            </w:pPr>
            <w:r>
              <w:rPr>
                <w:color w:val="000000"/>
                <w:sz w:val="20"/>
              </w:rPr>
              <w:t>17 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A214732"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9B51D62" w14:textId="77777777" w:rsidR="002E0961" w:rsidRDefault="002E0961">
            <w:pPr>
              <w:keepNext/>
            </w:pPr>
          </w:p>
        </w:tc>
        <w:tc>
          <w:tcPr>
            <w:tcW w:w="1595" w:type="dxa"/>
            <w:gridSpan w:val="2"/>
            <w:tcBorders>
              <w:top w:val="nil"/>
              <w:left w:val="nil"/>
              <w:bottom w:val="nil"/>
              <w:right w:val="nil"/>
            </w:tcBorders>
            <w:shd w:val="clear" w:color="auto" w:fill="CCEEFF"/>
            <w:tcMar>
              <w:top w:w="0" w:type="dxa"/>
              <w:left w:w="53" w:type="dxa"/>
              <w:bottom w:w="0" w:type="dxa"/>
              <w:right w:w="0" w:type="dxa"/>
            </w:tcMar>
            <w:vAlign w:val="bottom"/>
          </w:tcPr>
          <w:p w14:paraId="443518BC" w14:textId="77777777" w:rsidR="002E0961" w:rsidRDefault="00BD0E60">
            <w:pPr>
              <w:keepNext/>
              <w:spacing w:before="75" w:after="30" w:line="200" w:lineRule="auto"/>
              <w:jc w:val="right"/>
            </w:pPr>
            <w:r>
              <w:rPr>
                <w:color w:val="000000"/>
                <w:sz w:val="20"/>
              </w:rPr>
              <w:t>17 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402BFDC" w14:textId="77777777" w:rsidR="002E0961" w:rsidRDefault="002E0961">
            <w:pPr>
              <w:keepNext/>
              <w:spacing w:before="75" w:after="30" w:line="200" w:lineRule="auto"/>
            </w:pPr>
          </w:p>
        </w:tc>
      </w:tr>
      <w:tr w:rsidR="002E0961" w14:paraId="4CAEBB88" w14:textId="77777777">
        <w:trPr>
          <w:cantSplit/>
          <w:trHeight w:hRule="exact" w:val="300"/>
          <w:jc w:val="center"/>
        </w:trPr>
        <w:tc>
          <w:tcPr>
            <w:tcW w:w="5925" w:type="dxa"/>
            <w:tcBorders>
              <w:top w:val="nil"/>
              <w:left w:val="nil"/>
              <w:bottom w:val="nil"/>
              <w:right w:val="nil"/>
            </w:tcBorders>
            <w:shd w:val="clear" w:color="auto" w:fill="FFFFFF"/>
            <w:tcMar>
              <w:top w:w="0" w:type="dxa"/>
              <w:left w:w="53" w:type="dxa"/>
              <w:bottom w:w="0" w:type="dxa"/>
              <w:right w:w="53" w:type="dxa"/>
            </w:tcMar>
            <w:vAlign w:val="bottom"/>
          </w:tcPr>
          <w:p w14:paraId="35CC30D7" w14:textId="77777777" w:rsidR="002E0961" w:rsidRDefault="00BD0E60">
            <w:pPr>
              <w:keepNext/>
              <w:spacing w:before="75" w:after="30" w:line="200" w:lineRule="auto"/>
            </w:pPr>
            <w:r>
              <w:rPr>
                <w:color w:val="000000"/>
                <w:sz w:val="20"/>
              </w:rPr>
              <w:t>Interest income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57A7EF2" w14:textId="77777777" w:rsidR="002E0961" w:rsidRDefault="002E0961">
            <w:pPr>
              <w:keepNext/>
            </w:pPr>
          </w:p>
        </w:tc>
        <w:tc>
          <w:tcPr>
            <w:tcW w:w="1655" w:type="dxa"/>
            <w:gridSpan w:val="2"/>
            <w:tcBorders>
              <w:top w:val="nil"/>
              <w:left w:val="nil"/>
              <w:bottom w:val="nil"/>
              <w:right w:val="nil"/>
            </w:tcBorders>
            <w:shd w:val="clear" w:color="auto" w:fill="FFFFFF"/>
            <w:tcMar>
              <w:top w:w="0" w:type="dxa"/>
              <w:left w:w="53" w:type="dxa"/>
              <w:bottom w:w="0" w:type="dxa"/>
              <w:right w:w="0" w:type="dxa"/>
            </w:tcMar>
            <w:vAlign w:val="bottom"/>
          </w:tcPr>
          <w:p w14:paraId="7764F7C2" w14:textId="77777777" w:rsidR="002E0961" w:rsidRDefault="00BD0E60">
            <w:pPr>
              <w:keepNext/>
              <w:spacing w:before="75" w:after="30" w:line="200" w:lineRule="auto"/>
              <w:jc w:val="right"/>
            </w:pPr>
            <w:r>
              <w:rPr>
                <w:color w:val="000000"/>
                <w:sz w:val="20"/>
              </w:rPr>
              <w:t>(8)</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781B267"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5A60D08" w14:textId="77777777" w:rsidR="002E0961" w:rsidRDefault="002E0961">
            <w:pPr>
              <w:keepNext/>
            </w:pPr>
          </w:p>
        </w:tc>
        <w:tc>
          <w:tcPr>
            <w:tcW w:w="1595" w:type="dxa"/>
            <w:gridSpan w:val="2"/>
            <w:tcBorders>
              <w:top w:val="nil"/>
              <w:left w:val="nil"/>
              <w:bottom w:val="nil"/>
              <w:right w:val="nil"/>
            </w:tcBorders>
            <w:shd w:val="clear" w:color="auto" w:fill="FFFFFF"/>
            <w:tcMar>
              <w:top w:w="0" w:type="dxa"/>
              <w:left w:w="53" w:type="dxa"/>
              <w:bottom w:w="0" w:type="dxa"/>
              <w:right w:w="0" w:type="dxa"/>
            </w:tcMar>
            <w:vAlign w:val="bottom"/>
          </w:tcPr>
          <w:p w14:paraId="0E4ED03D" w14:textId="77777777" w:rsidR="002E0961" w:rsidRDefault="00BD0E60">
            <w:pPr>
              <w:keepNext/>
              <w:spacing w:before="75" w:after="30" w:line="200" w:lineRule="auto"/>
              <w:jc w:val="right"/>
            </w:pPr>
            <w:r>
              <w:rPr>
                <w:color w:val="000000"/>
                <w:sz w:val="20"/>
              </w:rPr>
              <w:t>(7)</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0976FF5" w14:textId="77777777" w:rsidR="002E0961" w:rsidRDefault="002E0961">
            <w:pPr>
              <w:keepNext/>
              <w:spacing w:before="75" w:after="30" w:line="200" w:lineRule="auto"/>
            </w:pPr>
          </w:p>
        </w:tc>
      </w:tr>
      <w:tr w:rsidR="002E0961" w14:paraId="7922D812" w14:textId="77777777">
        <w:trPr>
          <w:cantSplit/>
          <w:trHeight w:hRule="exact" w:val="300"/>
          <w:jc w:val="center"/>
        </w:trPr>
        <w:tc>
          <w:tcPr>
            <w:tcW w:w="5925" w:type="dxa"/>
            <w:tcBorders>
              <w:top w:val="nil"/>
              <w:left w:val="nil"/>
              <w:bottom w:val="nil"/>
              <w:right w:val="nil"/>
            </w:tcBorders>
            <w:shd w:val="clear" w:color="auto" w:fill="CCEEFF"/>
            <w:tcMar>
              <w:top w:w="0" w:type="dxa"/>
              <w:left w:w="53" w:type="dxa"/>
              <w:bottom w:w="0" w:type="dxa"/>
              <w:right w:w="53" w:type="dxa"/>
            </w:tcMar>
            <w:vAlign w:val="bottom"/>
          </w:tcPr>
          <w:p w14:paraId="665D2CB8" w14:textId="77777777" w:rsidR="002E0961" w:rsidRDefault="00BD0E60">
            <w:pPr>
              <w:keepNext/>
              <w:spacing w:before="75" w:after="30" w:line="200" w:lineRule="auto"/>
            </w:pPr>
            <w:r>
              <w:rPr>
                <w:color w:val="000000"/>
                <w:sz w:val="20"/>
              </w:rPr>
              <w:t>Interest expense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F896BC2" w14:textId="77777777" w:rsidR="002E0961" w:rsidRDefault="002E0961">
            <w:pPr>
              <w:keepNext/>
            </w:pPr>
          </w:p>
        </w:tc>
        <w:tc>
          <w:tcPr>
            <w:tcW w:w="1655" w:type="dxa"/>
            <w:gridSpan w:val="2"/>
            <w:tcBorders>
              <w:top w:val="nil"/>
              <w:left w:val="nil"/>
              <w:bottom w:val="nil"/>
              <w:right w:val="nil"/>
            </w:tcBorders>
            <w:shd w:val="clear" w:color="auto" w:fill="CCEEFF"/>
            <w:tcMar>
              <w:top w:w="0" w:type="dxa"/>
              <w:left w:w="53" w:type="dxa"/>
              <w:bottom w:w="0" w:type="dxa"/>
              <w:right w:w="0" w:type="dxa"/>
            </w:tcMar>
            <w:vAlign w:val="bottom"/>
          </w:tcPr>
          <w:p w14:paraId="75F7ADF1" w14:textId="77777777" w:rsidR="002E0961" w:rsidRDefault="00BD0E60">
            <w:pPr>
              <w:keepNext/>
              <w:spacing w:before="75" w:after="30" w:line="200" w:lineRule="auto"/>
              <w:jc w:val="right"/>
            </w:pPr>
            <w:r>
              <w:rPr>
                <w:color w:val="000000"/>
                <w:sz w:val="20"/>
              </w:rPr>
              <w:t>22 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9D8E6CB"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11AD77B" w14:textId="77777777" w:rsidR="002E0961" w:rsidRDefault="002E0961">
            <w:pPr>
              <w:keepNext/>
            </w:pPr>
          </w:p>
        </w:tc>
        <w:tc>
          <w:tcPr>
            <w:tcW w:w="1595" w:type="dxa"/>
            <w:gridSpan w:val="2"/>
            <w:tcBorders>
              <w:top w:val="nil"/>
              <w:left w:val="nil"/>
              <w:bottom w:val="nil"/>
              <w:right w:val="nil"/>
            </w:tcBorders>
            <w:shd w:val="clear" w:color="auto" w:fill="CCEEFF"/>
            <w:tcMar>
              <w:top w:w="0" w:type="dxa"/>
              <w:left w:w="53" w:type="dxa"/>
              <w:bottom w:w="0" w:type="dxa"/>
              <w:right w:w="0" w:type="dxa"/>
            </w:tcMar>
            <w:vAlign w:val="bottom"/>
          </w:tcPr>
          <w:p w14:paraId="0DC96C71" w14:textId="77777777" w:rsidR="002E0961" w:rsidRDefault="00BD0E60">
            <w:pPr>
              <w:keepNext/>
              <w:spacing w:before="75" w:after="30" w:line="200" w:lineRule="auto"/>
              <w:jc w:val="right"/>
            </w:pPr>
            <w:r>
              <w:rPr>
                <w:color w:val="000000"/>
                <w:sz w:val="20"/>
              </w:rPr>
              <w:t>24 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351EDF7" w14:textId="77777777" w:rsidR="002E0961" w:rsidRDefault="002E0961">
            <w:pPr>
              <w:keepNext/>
              <w:spacing w:before="75" w:after="30" w:line="200" w:lineRule="auto"/>
            </w:pPr>
          </w:p>
        </w:tc>
      </w:tr>
      <w:tr w:rsidR="002E0961" w14:paraId="62061DF2" w14:textId="77777777">
        <w:trPr>
          <w:cantSplit/>
          <w:trHeight w:hRule="exact" w:val="300"/>
          <w:jc w:val="center"/>
        </w:trPr>
        <w:tc>
          <w:tcPr>
            <w:tcW w:w="5925" w:type="dxa"/>
            <w:tcBorders>
              <w:top w:val="nil"/>
              <w:left w:val="nil"/>
              <w:bottom w:val="nil"/>
              <w:right w:val="nil"/>
            </w:tcBorders>
            <w:shd w:val="clear" w:color="auto" w:fill="FFFFFF"/>
            <w:tcMar>
              <w:top w:w="0" w:type="dxa"/>
              <w:left w:w="53" w:type="dxa"/>
              <w:bottom w:w="0" w:type="dxa"/>
              <w:right w:w="53" w:type="dxa"/>
            </w:tcMar>
            <w:vAlign w:val="bottom"/>
          </w:tcPr>
          <w:p w14:paraId="48C82559" w14:textId="77777777" w:rsidR="002E0961" w:rsidRDefault="00BD0E60">
            <w:pPr>
              <w:keepNext/>
              <w:spacing w:before="75" w:after="30" w:line="200" w:lineRule="auto"/>
            </w:pPr>
            <w:r>
              <w:rPr>
                <w:color w:val="000000"/>
                <w:sz w:val="20"/>
              </w:rPr>
              <w:t>Cash distribution received from equity method investments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14DAD03" w14:textId="77777777" w:rsidR="002E0961" w:rsidRDefault="002E0961">
            <w:pPr>
              <w:keepNext/>
            </w:pPr>
          </w:p>
        </w:tc>
        <w:tc>
          <w:tcPr>
            <w:tcW w:w="1655" w:type="dxa"/>
            <w:gridSpan w:val="2"/>
            <w:tcBorders>
              <w:top w:val="nil"/>
              <w:left w:val="nil"/>
              <w:bottom w:val="nil"/>
              <w:right w:val="nil"/>
            </w:tcBorders>
            <w:shd w:val="clear" w:color="auto" w:fill="FFFFFF"/>
            <w:tcMar>
              <w:top w:w="0" w:type="dxa"/>
              <w:left w:w="53" w:type="dxa"/>
              <w:bottom w:w="0" w:type="dxa"/>
              <w:right w:w="0" w:type="dxa"/>
            </w:tcMar>
            <w:vAlign w:val="bottom"/>
          </w:tcPr>
          <w:p w14:paraId="5BF31239" w14:textId="77777777" w:rsidR="002E0961" w:rsidRDefault="00BD0E60">
            <w:pPr>
              <w:keepNext/>
              <w:spacing w:before="75" w:after="30" w:line="200" w:lineRule="auto"/>
              <w:jc w:val="right"/>
            </w:pPr>
            <w:r>
              <w:rPr>
                <w:color w:val="000000"/>
                <w:sz w:val="20"/>
              </w:rPr>
              <w:t>142 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70EEF26"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2F9417F" w14:textId="77777777" w:rsidR="002E0961" w:rsidRDefault="002E0961">
            <w:pPr>
              <w:keepNext/>
            </w:pPr>
          </w:p>
        </w:tc>
        <w:tc>
          <w:tcPr>
            <w:tcW w:w="1595" w:type="dxa"/>
            <w:gridSpan w:val="2"/>
            <w:tcBorders>
              <w:top w:val="nil"/>
              <w:left w:val="nil"/>
              <w:bottom w:val="nil"/>
              <w:right w:val="nil"/>
            </w:tcBorders>
            <w:shd w:val="clear" w:color="auto" w:fill="FFFFFF"/>
            <w:tcMar>
              <w:top w:w="0" w:type="dxa"/>
              <w:left w:w="53" w:type="dxa"/>
              <w:bottom w:w="0" w:type="dxa"/>
              <w:right w:w="0" w:type="dxa"/>
            </w:tcMar>
            <w:vAlign w:val="bottom"/>
          </w:tcPr>
          <w:p w14:paraId="1F5283EC" w14:textId="77777777" w:rsidR="002E0961" w:rsidRDefault="00BD0E60">
            <w:pPr>
              <w:keepNext/>
              <w:spacing w:before="75" w:after="30" w:line="200" w:lineRule="auto"/>
              <w:jc w:val="right"/>
            </w:pPr>
            <w:r>
              <w:rPr>
                <w:color w:val="000000"/>
                <w:sz w:val="20"/>
              </w:rPr>
              <w:t>135 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B9BC5F5" w14:textId="77777777" w:rsidR="002E0961" w:rsidRDefault="002E0961">
            <w:pPr>
              <w:keepNext/>
              <w:spacing w:before="75" w:after="30" w:line="200" w:lineRule="auto"/>
            </w:pPr>
          </w:p>
        </w:tc>
      </w:tr>
      <w:tr w:rsidR="002E0961" w14:paraId="6EECCE4E" w14:textId="77777777">
        <w:trPr>
          <w:cantSplit/>
          <w:trHeight w:hRule="exact" w:val="300"/>
          <w:jc w:val="center"/>
        </w:trPr>
        <w:tc>
          <w:tcPr>
            <w:tcW w:w="5925" w:type="dxa"/>
            <w:tcBorders>
              <w:top w:val="nil"/>
              <w:left w:val="nil"/>
              <w:bottom w:val="nil"/>
              <w:right w:val="nil"/>
            </w:tcBorders>
            <w:shd w:val="clear" w:color="auto" w:fill="CCEEFF"/>
            <w:tcMar>
              <w:top w:w="0" w:type="dxa"/>
              <w:left w:w="53" w:type="dxa"/>
              <w:bottom w:w="0" w:type="dxa"/>
              <w:right w:w="53" w:type="dxa"/>
            </w:tcMar>
            <w:vAlign w:val="bottom"/>
          </w:tcPr>
          <w:p w14:paraId="1FB7B3DE" w14:textId="77777777" w:rsidR="002E0961" w:rsidRDefault="00BD0E60">
            <w:pPr>
              <w:keepNext/>
              <w:spacing w:before="75" w:after="30" w:line="200" w:lineRule="auto"/>
            </w:pPr>
            <w:r>
              <w:rPr>
                <w:color w:val="000000"/>
                <w:sz w:val="20"/>
              </w:rPr>
              <w:t>Less: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7C1527" w14:textId="77777777" w:rsidR="002E0961" w:rsidRDefault="002E0961">
            <w:pPr>
              <w:keepNext/>
            </w:pPr>
          </w:p>
        </w:tc>
        <w:tc>
          <w:tcPr>
            <w:tcW w:w="1755" w:type="dxa"/>
            <w:gridSpan w:val="3"/>
            <w:tcBorders>
              <w:top w:val="nil"/>
              <w:left w:val="nil"/>
              <w:bottom w:val="nil"/>
              <w:right w:val="nil"/>
            </w:tcBorders>
            <w:shd w:val="clear" w:color="auto" w:fill="CCEEFF"/>
            <w:tcMar>
              <w:top w:w="0" w:type="dxa"/>
              <w:left w:w="0" w:type="dxa"/>
              <w:bottom w:w="0" w:type="dxa"/>
              <w:right w:w="0" w:type="dxa"/>
            </w:tcMar>
            <w:vAlign w:val="bottom"/>
          </w:tcPr>
          <w:p w14:paraId="64445A46" w14:textId="77777777" w:rsidR="002E0961" w:rsidRDefault="002E0961">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D4818DB" w14:textId="77777777" w:rsidR="002E0961" w:rsidRDefault="002E0961">
            <w:pPr>
              <w:keepNext/>
            </w:pPr>
          </w:p>
        </w:tc>
        <w:tc>
          <w:tcPr>
            <w:tcW w:w="1695" w:type="dxa"/>
            <w:gridSpan w:val="3"/>
            <w:tcBorders>
              <w:top w:val="nil"/>
              <w:left w:val="nil"/>
              <w:bottom w:val="nil"/>
              <w:right w:val="nil"/>
            </w:tcBorders>
            <w:shd w:val="clear" w:color="auto" w:fill="CCEEFF"/>
            <w:tcMar>
              <w:top w:w="0" w:type="dxa"/>
              <w:left w:w="0" w:type="dxa"/>
              <w:bottom w:w="0" w:type="dxa"/>
              <w:right w:w="0" w:type="dxa"/>
            </w:tcMar>
            <w:vAlign w:val="bottom"/>
          </w:tcPr>
          <w:p w14:paraId="41EE52D7" w14:textId="77777777" w:rsidR="002E0961" w:rsidRDefault="002E0961">
            <w:pPr>
              <w:keepNext/>
            </w:pPr>
          </w:p>
        </w:tc>
      </w:tr>
      <w:tr w:rsidR="002E0961" w14:paraId="7DAEC848" w14:textId="77777777">
        <w:trPr>
          <w:cantSplit/>
          <w:trHeight w:hRule="exact" w:val="300"/>
          <w:jc w:val="center"/>
        </w:trPr>
        <w:tc>
          <w:tcPr>
            <w:tcW w:w="5925" w:type="dxa"/>
            <w:tcBorders>
              <w:top w:val="nil"/>
              <w:left w:val="nil"/>
              <w:bottom w:val="nil"/>
              <w:right w:val="nil"/>
            </w:tcBorders>
            <w:shd w:val="clear" w:color="auto" w:fill="FFFFFF"/>
            <w:tcMar>
              <w:top w:w="0" w:type="dxa"/>
              <w:left w:w="53" w:type="dxa"/>
              <w:bottom w:w="0" w:type="dxa"/>
              <w:right w:w="53" w:type="dxa"/>
            </w:tcMar>
            <w:vAlign w:val="bottom"/>
          </w:tcPr>
          <w:p w14:paraId="0DB37C20" w14:textId="77777777" w:rsidR="002E0961" w:rsidRDefault="00BD0E60">
            <w:pPr>
              <w:keepNext/>
              <w:spacing w:before="75" w:after="30" w:line="200" w:lineRule="auto"/>
            </w:pPr>
            <w:r>
              <w:rPr>
                <w:color w:val="000000"/>
                <w:sz w:val="20"/>
              </w:rPr>
              <w:t>Equity method distributions included in other income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9AD9FC8" w14:textId="77777777" w:rsidR="002E0961" w:rsidRDefault="002E0961">
            <w:pPr>
              <w:keepNext/>
            </w:pPr>
          </w:p>
        </w:tc>
        <w:tc>
          <w:tcPr>
            <w:tcW w:w="1655" w:type="dxa"/>
            <w:gridSpan w:val="2"/>
            <w:tcBorders>
              <w:top w:val="nil"/>
              <w:left w:val="nil"/>
              <w:bottom w:val="nil"/>
              <w:right w:val="nil"/>
            </w:tcBorders>
            <w:shd w:val="clear" w:color="auto" w:fill="FFFFFF"/>
            <w:tcMar>
              <w:top w:w="0" w:type="dxa"/>
              <w:left w:w="53" w:type="dxa"/>
              <w:bottom w:w="0" w:type="dxa"/>
              <w:right w:w="0" w:type="dxa"/>
            </w:tcMar>
            <w:vAlign w:val="bottom"/>
          </w:tcPr>
          <w:p w14:paraId="54D7926C" w14:textId="77777777" w:rsidR="002E0961" w:rsidRDefault="00BD0E60">
            <w:pPr>
              <w:keepNext/>
              <w:spacing w:before="75" w:after="30" w:line="200" w:lineRule="auto"/>
              <w:jc w:val="right"/>
            </w:pPr>
            <w:r>
              <w:rPr>
                <w:color w:val="000000"/>
                <w:sz w:val="20"/>
              </w:rPr>
              <w:t>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D19201C"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7F1BB12" w14:textId="77777777" w:rsidR="002E0961" w:rsidRDefault="002E0961">
            <w:pPr>
              <w:keepNext/>
            </w:pPr>
          </w:p>
        </w:tc>
        <w:tc>
          <w:tcPr>
            <w:tcW w:w="1595" w:type="dxa"/>
            <w:gridSpan w:val="2"/>
            <w:tcBorders>
              <w:top w:val="nil"/>
              <w:left w:val="nil"/>
              <w:bottom w:val="nil"/>
              <w:right w:val="nil"/>
            </w:tcBorders>
            <w:shd w:val="clear" w:color="auto" w:fill="FFFFFF"/>
            <w:tcMar>
              <w:top w:w="0" w:type="dxa"/>
              <w:left w:w="53" w:type="dxa"/>
              <w:bottom w:w="0" w:type="dxa"/>
              <w:right w:w="0" w:type="dxa"/>
            </w:tcMar>
            <w:vAlign w:val="bottom"/>
          </w:tcPr>
          <w:p w14:paraId="0FA286C5" w14:textId="77777777" w:rsidR="002E0961" w:rsidRDefault="00BD0E60">
            <w:pPr>
              <w:keepNext/>
              <w:spacing w:before="75" w:after="30" w:line="200" w:lineRule="auto"/>
              <w:jc w:val="right"/>
            </w:pPr>
            <w:r>
              <w:rPr>
                <w:color w:val="000000"/>
                <w:sz w:val="20"/>
              </w:rPr>
              <w:t>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918F653" w14:textId="77777777" w:rsidR="002E0961" w:rsidRDefault="002E0961">
            <w:pPr>
              <w:keepNext/>
              <w:spacing w:before="75" w:after="30" w:line="200" w:lineRule="auto"/>
            </w:pPr>
          </w:p>
        </w:tc>
      </w:tr>
      <w:tr w:rsidR="002E0961" w14:paraId="7F6A5E2E" w14:textId="77777777">
        <w:trPr>
          <w:cantSplit/>
          <w:trHeight w:hRule="exact" w:val="300"/>
          <w:jc w:val="center"/>
        </w:trPr>
        <w:tc>
          <w:tcPr>
            <w:tcW w:w="5925" w:type="dxa"/>
            <w:tcBorders>
              <w:top w:val="nil"/>
              <w:left w:val="nil"/>
              <w:bottom w:val="nil"/>
              <w:right w:val="nil"/>
            </w:tcBorders>
            <w:shd w:val="clear" w:color="auto" w:fill="CCEEFF"/>
            <w:tcMar>
              <w:top w:w="0" w:type="dxa"/>
              <w:left w:w="53" w:type="dxa"/>
              <w:bottom w:w="0" w:type="dxa"/>
              <w:right w:w="53" w:type="dxa"/>
            </w:tcMar>
            <w:vAlign w:val="bottom"/>
          </w:tcPr>
          <w:p w14:paraId="35467535" w14:textId="77777777" w:rsidR="002E0961" w:rsidRDefault="00BD0E60">
            <w:pPr>
              <w:keepNext/>
              <w:spacing w:before="75" w:after="30" w:line="200" w:lineRule="auto"/>
            </w:pPr>
            <w:r>
              <w:rPr>
                <w:color w:val="000000"/>
                <w:sz w:val="20"/>
              </w:rPr>
              <w:t>Income from equity method investments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B0B4041" w14:textId="77777777" w:rsidR="002E0961" w:rsidRDefault="002E0961">
            <w:pPr>
              <w:keepNext/>
            </w:pPr>
          </w:p>
        </w:tc>
        <w:tc>
          <w:tcPr>
            <w:tcW w:w="165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29ACDAD3" w14:textId="77777777" w:rsidR="002E0961" w:rsidRDefault="00BD0E60">
            <w:pPr>
              <w:keepNext/>
              <w:spacing w:before="75" w:after="30" w:line="200" w:lineRule="auto"/>
              <w:jc w:val="right"/>
            </w:pPr>
            <w:r>
              <w:rPr>
                <w:color w:val="000000"/>
                <w:sz w:val="20"/>
              </w:rPr>
              <w:t>109 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753A8FE"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F86F809" w14:textId="77777777" w:rsidR="002E0961" w:rsidRDefault="002E0961">
            <w:pPr>
              <w:keepNext/>
            </w:pPr>
          </w:p>
        </w:tc>
        <w:tc>
          <w:tcPr>
            <w:tcW w:w="159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47E629FD" w14:textId="77777777" w:rsidR="002E0961" w:rsidRDefault="00BD0E60">
            <w:pPr>
              <w:keepNext/>
              <w:spacing w:before="75" w:after="30" w:line="200" w:lineRule="auto"/>
              <w:jc w:val="right"/>
            </w:pPr>
            <w:r>
              <w:rPr>
                <w:color w:val="000000"/>
                <w:sz w:val="20"/>
              </w:rPr>
              <w:t>109 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3E5BC01" w14:textId="77777777" w:rsidR="002E0961" w:rsidRDefault="002E0961">
            <w:pPr>
              <w:keepNext/>
              <w:spacing w:before="75" w:after="30" w:line="200" w:lineRule="auto"/>
            </w:pPr>
          </w:p>
        </w:tc>
      </w:tr>
      <w:tr w:rsidR="002E0961" w14:paraId="57858110" w14:textId="77777777">
        <w:trPr>
          <w:cantSplit/>
          <w:trHeight w:hRule="exact" w:val="300"/>
          <w:jc w:val="center"/>
        </w:trPr>
        <w:tc>
          <w:tcPr>
            <w:tcW w:w="5925" w:type="dxa"/>
            <w:tcBorders>
              <w:top w:val="nil"/>
              <w:left w:val="nil"/>
              <w:bottom w:val="nil"/>
              <w:right w:val="nil"/>
            </w:tcBorders>
            <w:shd w:val="clear" w:color="auto" w:fill="FFFFFF"/>
            <w:tcMar>
              <w:top w:w="0" w:type="dxa"/>
              <w:left w:w="53" w:type="dxa"/>
              <w:bottom w:w="0" w:type="dxa"/>
              <w:right w:w="53" w:type="dxa"/>
            </w:tcMar>
            <w:vAlign w:val="bottom"/>
          </w:tcPr>
          <w:p w14:paraId="2EAC1987" w14:textId="77777777" w:rsidR="002E0961" w:rsidRDefault="00BD0E60">
            <w:pPr>
              <w:keepNext/>
              <w:spacing w:before="75" w:after="30" w:line="200" w:lineRule="auto"/>
            </w:pPr>
            <w:r>
              <w:rPr>
                <w:color w:val="000000"/>
                <w:sz w:val="20"/>
              </w:rPr>
              <w:t>Adjusted EBITDA</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B5C0B9D" w14:textId="77777777" w:rsidR="002E0961" w:rsidRDefault="002E0961">
            <w:pPr>
              <w:keepNext/>
            </w:pPr>
          </w:p>
        </w:tc>
        <w:tc>
          <w:tcPr>
            <w:tcW w:w="165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35364906" w14:textId="77777777" w:rsidR="002E0961" w:rsidRDefault="00BD0E60">
            <w:pPr>
              <w:keepNext/>
              <w:spacing w:before="55" w:after="30" w:line="200" w:lineRule="auto"/>
              <w:jc w:val="right"/>
            </w:pPr>
            <w:r>
              <w:rPr>
                <w:color w:val="000000"/>
                <w:sz w:val="20"/>
              </w:rPr>
              <w:t>194 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E9C2D7D" w14:textId="77777777" w:rsidR="002E0961" w:rsidRDefault="002E0961">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88A0B19" w14:textId="77777777" w:rsidR="002E0961" w:rsidRDefault="002E0961">
            <w:pPr>
              <w:keepNext/>
            </w:pPr>
          </w:p>
        </w:tc>
        <w:tc>
          <w:tcPr>
            <w:tcW w:w="159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72D88D21" w14:textId="77777777" w:rsidR="002E0961" w:rsidRDefault="00BD0E60">
            <w:pPr>
              <w:keepNext/>
              <w:spacing w:before="55" w:after="30" w:line="200" w:lineRule="auto"/>
              <w:jc w:val="right"/>
            </w:pPr>
            <w:r>
              <w:rPr>
                <w:color w:val="000000"/>
                <w:sz w:val="20"/>
              </w:rPr>
              <w:t>195 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8AB1D07" w14:textId="77777777" w:rsidR="002E0961" w:rsidRDefault="002E0961">
            <w:pPr>
              <w:keepNext/>
              <w:spacing w:before="55" w:after="30" w:line="200" w:lineRule="auto"/>
            </w:pPr>
          </w:p>
        </w:tc>
      </w:tr>
      <w:tr w:rsidR="002E0961" w14:paraId="57CBF02C" w14:textId="77777777">
        <w:trPr>
          <w:cantSplit/>
          <w:trHeight w:hRule="exact" w:val="300"/>
          <w:jc w:val="center"/>
        </w:trPr>
        <w:tc>
          <w:tcPr>
            <w:tcW w:w="5925" w:type="dxa"/>
            <w:tcBorders>
              <w:top w:val="nil"/>
              <w:left w:val="nil"/>
              <w:bottom w:val="nil"/>
              <w:right w:val="nil"/>
            </w:tcBorders>
            <w:shd w:val="clear" w:color="auto" w:fill="CCEEFF"/>
            <w:tcMar>
              <w:top w:w="0" w:type="dxa"/>
              <w:left w:w="53" w:type="dxa"/>
              <w:bottom w:w="0" w:type="dxa"/>
              <w:right w:w="53" w:type="dxa"/>
            </w:tcMar>
            <w:vAlign w:val="bottom"/>
          </w:tcPr>
          <w:p w14:paraId="37B535D4" w14:textId="77777777" w:rsidR="002E0961" w:rsidRDefault="00BD0E60">
            <w:pPr>
              <w:keepNext/>
              <w:spacing w:before="75" w:after="30" w:line="200" w:lineRule="auto"/>
            </w:pPr>
            <w:r>
              <w:rPr>
                <w:color w:val="000000"/>
                <w:sz w:val="20"/>
              </w:rPr>
              <w:t>Less: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DDED8E3" w14:textId="77777777" w:rsidR="002E0961" w:rsidRDefault="002E0961">
            <w:pPr>
              <w:keepNext/>
            </w:pPr>
          </w:p>
        </w:tc>
        <w:tc>
          <w:tcPr>
            <w:tcW w:w="1755" w:type="dxa"/>
            <w:gridSpan w:val="3"/>
            <w:tcBorders>
              <w:top w:val="nil"/>
              <w:left w:val="nil"/>
              <w:bottom w:val="nil"/>
              <w:right w:val="nil"/>
            </w:tcBorders>
            <w:shd w:val="clear" w:color="auto" w:fill="CCEEFF"/>
            <w:tcMar>
              <w:top w:w="0" w:type="dxa"/>
              <w:left w:w="0" w:type="dxa"/>
              <w:bottom w:w="0" w:type="dxa"/>
              <w:right w:w="0" w:type="dxa"/>
            </w:tcMar>
            <w:vAlign w:val="bottom"/>
          </w:tcPr>
          <w:p w14:paraId="29335242" w14:textId="77777777" w:rsidR="002E0961" w:rsidRDefault="002E0961">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0E786FE" w14:textId="77777777" w:rsidR="002E0961" w:rsidRDefault="002E0961">
            <w:pPr>
              <w:keepNext/>
            </w:pPr>
          </w:p>
        </w:tc>
        <w:tc>
          <w:tcPr>
            <w:tcW w:w="1695" w:type="dxa"/>
            <w:gridSpan w:val="3"/>
            <w:tcBorders>
              <w:top w:val="nil"/>
              <w:left w:val="nil"/>
              <w:bottom w:val="nil"/>
              <w:right w:val="nil"/>
            </w:tcBorders>
            <w:shd w:val="clear" w:color="auto" w:fill="CCEEFF"/>
            <w:tcMar>
              <w:top w:w="0" w:type="dxa"/>
              <w:left w:w="0" w:type="dxa"/>
              <w:bottom w:w="0" w:type="dxa"/>
              <w:right w:w="0" w:type="dxa"/>
            </w:tcMar>
            <w:vAlign w:val="bottom"/>
          </w:tcPr>
          <w:p w14:paraId="3D329005" w14:textId="77777777" w:rsidR="002E0961" w:rsidRDefault="002E0961">
            <w:pPr>
              <w:keepNext/>
            </w:pPr>
          </w:p>
        </w:tc>
      </w:tr>
      <w:tr w:rsidR="002E0961" w14:paraId="1406EFA4" w14:textId="77777777">
        <w:trPr>
          <w:cantSplit/>
          <w:trHeight w:hRule="exact" w:val="300"/>
          <w:jc w:val="center"/>
        </w:trPr>
        <w:tc>
          <w:tcPr>
            <w:tcW w:w="5925" w:type="dxa"/>
            <w:tcBorders>
              <w:top w:val="nil"/>
              <w:left w:val="nil"/>
              <w:bottom w:val="nil"/>
              <w:right w:val="nil"/>
            </w:tcBorders>
            <w:shd w:val="clear" w:color="auto" w:fill="FFFFFF"/>
            <w:tcMar>
              <w:top w:w="0" w:type="dxa"/>
              <w:left w:w="53" w:type="dxa"/>
              <w:bottom w:w="0" w:type="dxa"/>
              <w:right w:w="53" w:type="dxa"/>
            </w:tcMar>
            <w:vAlign w:val="bottom"/>
          </w:tcPr>
          <w:p w14:paraId="45C9B874" w14:textId="77777777" w:rsidR="002E0961" w:rsidRDefault="00BD0E60">
            <w:pPr>
              <w:keepNext/>
              <w:spacing w:before="75" w:after="30" w:line="200" w:lineRule="auto"/>
            </w:pPr>
            <w:r>
              <w:rPr>
                <w:color w:val="000000"/>
                <w:sz w:val="20"/>
              </w:rPr>
              <w:t>Adjusted EBITDA attributable to noncontrolling interests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6B60644" w14:textId="77777777" w:rsidR="002E0961" w:rsidRDefault="002E0961">
            <w:pPr>
              <w:keepNext/>
            </w:pPr>
          </w:p>
        </w:tc>
        <w:tc>
          <w:tcPr>
            <w:tcW w:w="165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701B4D85" w14:textId="77777777" w:rsidR="002E0961" w:rsidRDefault="00BD0E60">
            <w:pPr>
              <w:keepNext/>
              <w:spacing w:before="75" w:after="30" w:line="200" w:lineRule="auto"/>
              <w:jc w:val="right"/>
            </w:pPr>
            <w:r>
              <w:rPr>
                <w:color w:val="000000"/>
                <w:sz w:val="20"/>
              </w:rPr>
              <w:t>3 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279D9F4"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7AB628B" w14:textId="77777777" w:rsidR="002E0961" w:rsidRDefault="002E0961">
            <w:pPr>
              <w:keepNext/>
            </w:pPr>
          </w:p>
        </w:tc>
        <w:tc>
          <w:tcPr>
            <w:tcW w:w="159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04F066D6" w14:textId="77777777" w:rsidR="002E0961" w:rsidRDefault="00BD0E60">
            <w:pPr>
              <w:keepNext/>
              <w:spacing w:before="75" w:after="30" w:line="200" w:lineRule="auto"/>
              <w:jc w:val="right"/>
            </w:pPr>
            <w:r>
              <w:rPr>
                <w:color w:val="000000"/>
                <w:sz w:val="20"/>
              </w:rPr>
              <w:t>3 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5A5C86E" w14:textId="77777777" w:rsidR="002E0961" w:rsidRDefault="002E0961">
            <w:pPr>
              <w:keepNext/>
              <w:spacing w:before="75" w:after="30" w:line="200" w:lineRule="auto"/>
            </w:pPr>
          </w:p>
        </w:tc>
      </w:tr>
      <w:tr w:rsidR="002E0961" w14:paraId="7F44B28F" w14:textId="77777777">
        <w:trPr>
          <w:cantSplit/>
          <w:trHeight w:hRule="exact" w:val="300"/>
          <w:jc w:val="center"/>
        </w:trPr>
        <w:tc>
          <w:tcPr>
            <w:tcW w:w="5925" w:type="dxa"/>
            <w:tcBorders>
              <w:top w:val="nil"/>
              <w:left w:val="nil"/>
              <w:bottom w:val="nil"/>
              <w:right w:val="nil"/>
            </w:tcBorders>
            <w:shd w:val="clear" w:color="auto" w:fill="CCEEFF"/>
            <w:tcMar>
              <w:top w:w="0" w:type="dxa"/>
              <w:left w:w="53" w:type="dxa"/>
              <w:bottom w:w="0" w:type="dxa"/>
              <w:right w:w="53" w:type="dxa"/>
            </w:tcMar>
            <w:vAlign w:val="bottom"/>
          </w:tcPr>
          <w:p w14:paraId="69242B96" w14:textId="77777777" w:rsidR="002E0961" w:rsidRDefault="00BD0E60">
            <w:pPr>
              <w:keepNext/>
              <w:spacing w:before="75" w:after="30" w:line="200" w:lineRule="auto"/>
            </w:pPr>
            <w:r>
              <w:rPr>
                <w:color w:val="000000"/>
                <w:sz w:val="20"/>
              </w:rPr>
              <w:t>Adjusted EBITDA attributable to the Partnership</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BA8FE7F" w14:textId="77777777" w:rsidR="002E0961" w:rsidRDefault="002E0961">
            <w:pPr>
              <w:keepNext/>
            </w:pPr>
          </w:p>
        </w:tc>
        <w:tc>
          <w:tcPr>
            <w:tcW w:w="165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0D382249" w14:textId="77777777" w:rsidR="002E0961" w:rsidRDefault="00BD0E60">
            <w:pPr>
              <w:keepNext/>
              <w:spacing w:before="55" w:after="30" w:line="200" w:lineRule="auto"/>
              <w:jc w:val="right"/>
            </w:pPr>
            <w:r>
              <w:rPr>
                <w:color w:val="000000"/>
                <w:sz w:val="20"/>
              </w:rPr>
              <w:t>191 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D87FD52" w14:textId="77777777" w:rsidR="002E0961" w:rsidRDefault="002E0961">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50E1279" w14:textId="77777777" w:rsidR="002E0961" w:rsidRDefault="002E0961">
            <w:pPr>
              <w:keepNext/>
            </w:pPr>
          </w:p>
        </w:tc>
        <w:tc>
          <w:tcPr>
            <w:tcW w:w="159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27E78413" w14:textId="77777777" w:rsidR="002E0961" w:rsidRDefault="00BD0E60">
            <w:pPr>
              <w:keepNext/>
              <w:spacing w:before="55" w:after="30" w:line="200" w:lineRule="auto"/>
              <w:jc w:val="right"/>
            </w:pPr>
            <w:r>
              <w:rPr>
                <w:color w:val="000000"/>
                <w:sz w:val="20"/>
              </w:rPr>
              <w:t>192 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7C297C1" w14:textId="77777777" w:rsidR="002E0961" w:rsidRDefault="002E0961">
            <w:pPr>
              <w:keepNext/>
              <w:spacing w:before="55" w:after="30" w:line="200" w:lineRule="auto"/>
            </w:pPr>
          </w:p>
        </w:tc>
      </w:tr>
      <w:tr w:rsidR="002E0961" w14:paraId="01FD39DB" w14:textId="77777777">
        <w:trPr>
          <w:cantSplit/>
          <w:trHeight w:hRule="exact" w:val="300"/>
          <w:jc w:val="center"/>
        </w:trPr>
        <w:tc>
          <w:tcPr>
            <w:tcW w:w="5925" w:type="dxa"/>
            <w:tcBorders>
              <w:top w:val="nil"/>
              <w:left w:val="nil"/>
              <w:bottom w:val="nil"/>
              <w:right w:val="nil"/>
            </w:tcBorders>
            <w:shd w:val="clear" w:color="auto" w:fill="FFFFFF"/>
            <w:tcMar>
              <w:top w:w="0" w:type="dxa"/>
              <w:left w:w="53" w:type="dxa"/>
              <w:bottom w:w="0" w:type="dxa"/>
              <w:right w:w="53" w:type="dxa"/>
            </w:tcMar>
            <w:vAlign w:val="bottom"/>
          </w:tcPr>
          <w:p w14:paraId="09830413" w14:textId="77777777" w:rsidR="002E0961" w:rsidRDefault="00BD0E60">
            <w:pPr>
              <w:keepNext/>
              <w:spacing w:before="75" w:after="30" w:line="200" w:lineRule="auto"/>
            </w:pPr>
            <w:r>
              <w:rPr>
                <w:color w:val="000000"/>
                <w:sz w:val="20"/>
              </w:rPr>
              <w:t>Less: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400494" w14:textId="77777777" w:rsidR="002E0961" w:rsidRDefault="002E0961">
            <w:pPr>
              <w:keepNext/>
            </w:pPr>
          </w:p>
        </w:tc>
        <w:tc>
          <w:tcPr>
            <w:tcW w:w="1755" w:type="dxa"/>
            <w:gridSpan w:val="3"/>
            <w:tcBorders>
              <w:top w:val="nil"/>
              <w:left w:val="nil"/>
              <w:bottom w:val="nil"/>
              <w:right w:val="nil"/>
            </w:tcBorders>
            <w:shd w:val="clear" w:color="auto" w:fill="FFFFFF"/>
            <w:tcMar>
              <w:top w:w="0" w:type="dxa"/>
              <w:left w:w="0" w:type="dxa"/>
              <w:bottom w:w="0" w:type="dxa"/>
              <w:right w:w="0" w:type="dxa"/>
            </w:tcMar>
            <w:vAlign w:val="bottom"/>
          </w:tcPr>
          <w:p w14:paraId="6CFC53AA" w14:textId="77777777" w:rsidR="002E0961" w:rsidRDefault="002E0961">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7229FEA" w14:textId="77777777" w:rsidR="002E0961" w:rsidRDefault="002E0961">
            <w:pPr>
              <w:keepNext/>
            </w:pPr>
          </w:p>
        </w:tc>
        <w:tc>
          <w:tcPr>
            <w:tcW w:w="1695" w:type="dxa"/>
            <w:gridSpan w:val="3"/>
            <w:tcBorders>
              <w:top w:val="nil"/>
              <w:left w:val="nil"/>
              <w:bottom w:val="nil"/>
              <w:right w:val="nil"/>
            </w:tcBorders>
            <w:shd w:val="clear" w:color="auto" w:fill="FFFFFF"/>
            <w:tcMar>
              <w:top w:w="0" w:type="dxa"/>
              <w:left w:w="0" w:type="dxa"/>
              <w:bottom w:w="0" w:type="dxa"/>
              <w:right w:w="0" w:type="dxa"/>
            </w:tcMar>
            <w:vAlign w:val="bottom"/>
          </w:tcPr>
          <w:p w14:paraId="765DA7D9" w14:textId="77777777" w:rsidR="002E0961" w:rsidRDefault="002E0961">
            <w:pPr>
              <w:keepNext/>
            </w:pPr>
          </w:p>
        </w:tc>
      </w:tr>
      <w:tr w:rsidR="002E0961" w14:paraId="793C9F97" w14:textId="77777777">
        <w:trPr>
          <w:cantSplit/>
          <w:trHeight w:hRule="exact" w:val="300"/>
          <w:jc w:val="center"/>
        </w:trPr>
        <w:tc>
          <w:tcPr>
            <w:tcW w:w="5925" w:type="dxa"/>
            <w:tcBorders>
              <w:top w:val="nil"/>
              <w:left w:val="nil"/>
              <w:bottom w:val="nil"/>
              <w:right w:val="nil"/>
            </w:tcBorders>
            <w:shd w:val="clear" w:color="auto" w:fill="CCEEFF"/>
            <w:tcMar>
              <w:top w:w="0" w:type="dxa"/>
              <w:left w:w="53" w:type="dxa"/>
              <w:bottom w:w="0" w:type="dxa"/>
              <w:right w:w="53" w:type="dxa"/>
            </w:tcMar>
            <w:vAlign w:val="bottom"/>
          </w:tcPr>
          <w:p w14:paraId="6AA12A26" w14:textId="77777777" w:rsidR="002E0961" w:rsidRDefault="00BD0E60">
            <w:pPr>
              <w:keepNext/>
              <w:spacing w:before="75" w:after="30" w:line="200" w:lineRule="auto"/>
            </w:pPr>
            <w:r>
              <w:rPr>
                <w:color w:val="000000"/>
                <w:sz w:val="20"/>
              </w:rPr>
              <w:t>Series A Preferred Units distribution</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3DAD85C" w14:textId="77777777" w:rsidR="002E0961" w:rsidRDefault="002E0961">
            <w:pPr>
              <w:keepNext/>
            </w:pPr>
          </w:p>
        </w:tc>
        <w:tc>
          <w:tcPr>
            <w:tcW w:w="1655" w:type="dxa"/>
            <w:gridSpan w:val="2"/>
            <w:tcBorders>
              <w:top w:val="nil"/>
              <w:left w:val="nil"/>
              <w:bottom w:val="nil"/>
              <w:right w:val="nil"/>
            </w:tcBorders>
            <w:shd w:val="clear" w:color="auto" w:fill="CCEEFF"/>
            <w:tcMar>
              <w:top w:w="0" w:type="dxa"/>
              <w:left w:w="53" w:type="dxa"/>
              <w:bottom w:w="0" w:type="dxa"/>
              <w:right w:w="0" w:type="dxa"/>
            </w:tcMar>
            <w:vAlign w:val="bottom"/>
          </w:tcPr>
          <w:p w14:paraId="3DAB2920" w14:textId="77777777" w:rsidR="002E0961" w:rsidRDefault="00BD0E60">
            <w:pPr>
              <w:keepNext/>
              <w:spacing w:before="75" w:after="30" w:line="200" w:lineRule="auto"/>
              <w:jc w:val="right"/>
            </w:pPr>
            <w:r>
              <w:rPr>
                <w:color w:val="000000"/>
                <w:sz w:val="20"/>
              </w:rPr>
              <w:t>12 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A557316"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B2CF140" w14:textId="77777777" w:rsidR="002E0961" w:rsidRDefault="002E0961">
            <w:pPr>
              <w:keepNext/>
            </w:pPr>
          </w:p>
        </w:tc>
        <w:tc>
          <w:tcPr>
            <w:tcW w:w="1595" w:type="dxa"/>
            <w:gridSpan w:val="2"/>
            <w:tcBorders>
              <w:top w:val="nil"/>
              <w:left w:val="nil"/>
              <w:bottom w:val="nil"/>
              <w:right w:val="nil"/>
            </w:tcBorders>
            <w:shd w:val="clear" w:color="auto" w:fill="CCEEFF"/>
            <w:tcMar>
              <w:top w:w="0" w:type="dxa"/>
              <w:left w:w="53" w:type="dxa"/>
              <w:bottom w:w="0" w:type="dxa"/>
              <w:right w:w="0" w:type="dxa"/>
            </w:tcMar>
            <w:vAlign w:val="bottom"/>
          </w:tcPr>
          <w:p w14:paraId="3630116C" w14:textId="77777777" w:rsidR="002E0961" w:rsidRDefault="00BD0E60">
            <w:pPr>
              <w:keepNext/>
              <w:spacing w:before="75" w:after="30" w:line="200" w:lineRule="auto"/>
              <w:jc w:val="right"/>
            </w:pPr>
            <w:r>
              <w:rPr>
                <w:color w:val="000000"/>
                <w:sz w:val="20"/>
              </w:rPr>
              <w:t>12 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D1928BC" w14:textId="77777777" w:rsidR="002E0961" w:rsidRDefault="002E0961">
            <w:pPr>
              <w:keepNext/>
              <w:spacing w:before="75" w:after="30" w:line="200" w:lineRule="auto"/>
            </w:pPr>
          </w:p>
        </w:tc>
      </w:tr>
      <w:tr w:rsidR="002E0961" w14:paraId="13DD776F" w14:textId="77777777">
        <w:trPr>
          <w:cantSplit/>
          <w:trHeight w:hRule="exact" w:val="300"/>
          <w:jc w:val="center"/>
        </w:trPr>
        <w:tc>
          <w:tcPr>
            <w:tcW w:w="5925" w:type="dxa"/>
            <w:tcBorders>
              <w:top w:val="nil"/>
              <w:left w:val="nil"/>
              <w:bottom w:val="nil"/>
              <w:right w:val="nil"/>
            </w:tcBorders>
            <w:shd w:val="clear" w:color="auto" w:fill="FFFFFF"/>
            <w:tcMar>
              <w:top w:w="0" w:type="dxa"/>
              <w:left w:w="53" w:type="dxa"/>
              <w:bottom w:w="0" w:type="dxa"/>
              <w:right w:w="53" w:type="dxa"/>
            </w:tcMar>
            <w:vAlign w:val="bottom"/>
          </w:tcPr>
          <w:p w14:paraId="25C36841" w14:textId="77777777" w:rsidR="002E0961" w:rsidRDefault="00BD0E60">
            <w:pPr>
              <w:keepNext/>
              <w:spacing w:before="75" w:after="30" w:line="209" w:lineRule="auto"/>
              <w:rPr>
                <w:sz w:val="20"/>
              </w:rPr>
            </w:pPr>
            <w:r>
              <w:rPr>
                <w:sz w:val="20"/>
              </w:rPr>
              <w:t>Net interest paid by the Partnership</w:t>
            </w:r>
            <w:r>
              <w:rPr>
                <w:sz w:val="20"/>
                <w:vertAlign w:val="superscript"/>
              </w:rPr>
              <w:t xml:space="preserve"> (1)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4835DF4" w14:textId="77777777" w:rsidR="002E0961" w:rsidRDefault="002E0961">
            <w:pPr>
              <w:keepNext/>
            </w:pPr>
          </w:p>
        </w:tc>
        <w:tc>
          <w:tcPr>
            <w:tcW w:w="1655" w:type="dxa"/>
            <w:gridSpan w:val="2"/>
            <w:tcBorders>
              <w:top w:val="nil"/>
              <w:left w:val="nil"/>
              <w:bottom w:val="nil"/>
              <w:right w:val="nil"/>
            </w:tcBorders>
            <w:shd w:val="clear" w:color="auto" w:fill="FFFFFF"/>
            <w:tcMar>
              <w:top w:w="0" w:type="dxa"/>
              <w:left w:w="53" w:type="dxa"/>
              <w:bottom w:w="0" w:type="dxa"/>
              <w:right w:w="0" w:type="dxa"/>
            </w:tcMar>
            <w:vAlign w:val="bottom"/>
          </w:tcPr>
          <w:p w14:paraId="4EB83966" w14:textId="77777777" w:rsidR="002E0961" w:rsidRDefault="00BD0E60">
            <w:pPr>
              <w:keepNext/>
              <w:spacing w:before="75" w:after="30" w:line="200" w:lineRule="auto"/>
              <w:jc w:val="right"/>
            </w:pPr>
            <w:r>
              <w:rPr>
                <w:color w:val="000000"/>
                <w:sz w:val="20"/>
              </w:rPr>
              <w:t>22 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C7EDD24"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9F674CF" w14:textId="77777777" w:rsidR="002E0961" w:rsidRDefault="002E0961">
            <w:pPr>
              <w:keepNext/>
            </w:pPr>
          </w:p>
        </w:tc>
        <w:tc>
          <w:tcPr>
            <w:tcW w:w="1595" w:type="dxa"/>
            <w:gridSpan w:val="2"/>
            <w:tcBorders>
              <w:top w:val="nil"/>
              <w:left w:val="nil"/>
              <w:bottom w:val="nil"/>
              <w:right w:val="nil"/>
            </w:tcBorders>
            <w:shd w:val="clear" w:color="auto" w:fill="FFFFFF"/>
            <w:tcMar>
              <w:top w:w="0" w:type="dxa"/>
              <w:left w:w="53" w:type="dxa"/>
              <w:bottom w:w="0" w:type="dxa"/>
              <w:right w:w="0" w:type="dxa"/>
            </w:tcMar>
            <w:vAlign w:val="bottom"/>
          </w:tcPr>
          <w:p w14:paraId="7EEC1504" w14:textId="77777777" w:rsidR="002E0961" w:rsidRDefault="00BD0E60">
            <w:pPr>
              <w:keepNext/>
              <w:spacing w:before="75" w:after="30" w:line="200" w:lineRule="auto"/>
              <w:jc w:val="right"/>
            </w:pPr>
            <w:r>
              <w:rPr>
                <w:color w:val="000000"/>
                <w:sz w:val="20"/>
              </w:rPr>
              <w:t>25 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1EF4957" w14:textId="77777777" w:rsidR="002E0961" w:rsidRDefault="002E0961">
            <w:pPr>
              <w:keepNext/>
              <w:spacing w:before="75" w:after="30" w:line="200" w:lineRule="auto"/>
            </w:pPr>
          </w:p>
        </w:tc>
      </w:tr>
      <w:tr w:rsidR="002E0961" w14:paraId="629F2BAF" w14:textId="77777777">
        <w:trPr>
          <w:cantSplit/>
          <w:trHeight w:hRule="exact" w:val="300"/>
          <w:jc w:val="center"/>
        </w:trPr>
        <w:tc>
          <w:tcPr>
            <w:tcW w:w="5925" w:type="dxa"/>
            <w:tcBorders>
              <w:top w:val="nil"/>
              <w:left w:val="nil"/>
              <w:bottom w:val="nil"/>
              <w:right w:val="nil"/>
            </w:tcBorders>
            <w:shd w:val="clear" w:color="auto" w:fill="CCEEFF"/>
            <w:tcMar>
              <w:top w:w="0" w:type="dxa"/>
              <w:left w:w="53" w:type="dxa"/>
              <w:bottom w:w="0" w:type="dxa"/>
              <w:right w:w="53" w:type="dxa"/>
            </w:tcMar>
            <w:vAlign w:val="bottom"/>
          </w:tcPr>
          <w:p w14:paraId="323B9539" w14:textId="77777777" w:rsidR="002E0961" w:rsidRDefault="00BD0E60">
            <w:pPr>
              <w:keepNext/>
              <w:spacing w:before="75" w:after="30" w:line="200" w:lineRule="auto"/>
            </w:pPr>
            <w:r>
              <w:rPr>
                <w:color w:val="000000"/>
                <w:sz w:val="20"/>
              </w:rPr>
              <w:t xml:space="preserve">Maintenance capex attributable to the Partnership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2D87284" w14:textId="77777777" w:rsidR="002E0961" w:rsidRDefault="002E0961">
            <w:pPr>
              <w:keepNext/>
            </w:pPr>
          </w:p>
        </w:tc>
        <w:tc>
          <w:tcPr>
            <w:tcW w:w="1655" w:type="dxa"/>
            <w:gridSpan w:val="2"/>
            <w:tcBorders>
              <w:top w:val="nil"/>
              <w:left w:val="nil"/>
              <w:bottom w:val="nil"/>
              <w:right w:val="nil"/>
            </w:tcBorders>
            <w:shd w:val="clear" w:color="auto" w:fill="CCEEFF"/>
            <w:tcMar>
              <w:top w:w="0" w:type="dxa"/>
              <w:left w:w="53" w:type="dxa"/>
              <w:bottom w:w="0" w:type="dxa"/>
              <w:right w:w="0" w:type="dxa"/>
            </w:tcMar>
            <w:vAlign w:val="bottom"/>
          </w:tcPr>
          <w:p w14:paraId="34ADFE62" w14:textId="77777777" w:rsidR="002E0961" w:rsidRDefault="00BD0E60">
            <w:pPr>
              <w:keepNext/>
              <w:spacing w:before="75" w:after="30" w:line="200" w:lineRule="auto"/>
              <w:jc w:val="right"/>
            </w:pPr>
            <w:r>
              <w:rPr>
                <w:color w:val="000000"/>
                <w:sz w:val="20"/>
              </w:rPr>
              <w:t>10 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204B392"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969A3D5" w14:textId="77777777" w:rsidR="002E0961" w:rsidRDefault="002E0961">
            <w:pPr>
              <w:keepNext/>
            </w:pPr>
          </w:p>
        </w:tc>
        <w:tc>
          <w:tcPr>
            <w:tcW w:w="1595" w:type="dxa"/>
            <w:gridSpan w:val="2"/>
            <w:tcBorders>
              <w:top w:val="nil"/>
              <w:left w:val="nil"/>
              <w:bottom w:val="nil"/>
              <w:right w:val="nil"/>
            </w:tcBorders>
            <w:shd w:val="clear" w:color="auto" w:fill="CCEEFF"/>
            <w:tcMar>
              <w:top w:w="0" w:type="dxa"/>
              <w:left w:w="53" w:type="dxa"/>
              <w:bottom w:w="0" w:type="dxa"/>
              <w:right w:w="0" w:type="dxa"/>
            </w:tcMar>
            <w:vAlign w:val="bottom"/>
          </w:tcPr>
          <w:p w14:paraId="44BEFA45" w14:textId="77777777" w:rsidR="002E0961" w:rsidRDefault="00BD0E60">
            <w:pPr>
              <w:keepNext/>
              <w:spacing w:before="75" w:after="30" w:line="200" w:lineRule="auto"/>
              <w:jc w:val="right"/>
            </w:pPr>
            <w:r>
              <w:rPr>
                <w:color w:val="000000"/>
                <w:sz w:val="20"/>
              </w:rPr>
              <w:t>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D940560" w14:textId="77777777" w:rsidR="002E0961" w:rsidRDefault="002E0961">
            <w:pPr>
              <w:keepNext/>
              <w:spacing w:before="75" w:after="30" w:line="200" w:lineRule="auto"/>
            </w:pPr>
          </w:p>
        </w:tc>
      </w:tr>
      <w:tr w:rsidR="002E0961" w14:paraId="15658FCF" w14:textId="77777777">
        <w:trPr>
          <w:cantSplit/>
          <w:trHeight w:hRule="exact" w:val="300"/>
          <w:jc w:val="center"/>
        </w:trPr>
        <w:tc>
          <w:tcPr>
            <w:tcW w:w="5925" w:type="dxa"/>
            <w:tcBorders>
              <w:top w:val="nil"/>
              <w:left w:val="nil"/>
              <w:bottom w:val="nil"/>
              <w:right w:val="nil"/>
            </w:tcBorders>
            <w:shd w:val="clear" w:color="auto" w:fill="FFFFFF"/>
            <w:tcMar>
              <w:top w:w="0" w:type="dxa"/>
              <w:left w:w="53" w:type="dxa"/>
              <w:bottom w:w="0" w:type="dxa"/>
              <w:right w:w="53" w:type="dxa"/>
            </w:tcMar>
            <w:vAlign w:val="bottom"/>
          </w:tcPr>
          <w:p w14:paraId="0F5BC380" w14:textId="77777777" w:rsidR="002E0961" w:rsidRDefault="00BD0E60">
            <w:pPr>
              <w:keepNext/>
              <w:spacing w:before="75" w:after="30" w:line="200" w:lineRule="auto"/>
            </w:pPr>
            <w:r>
              <w:rPr>
                <w:color w:val="000000"/>
                <w:sz w:val="20"/>
              </w:rPr>
              <w:t>Add: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E67C0B1" w14:textId="77777777" w:rsidR="002E0961" w:rsidRDefault="002E0961">
            <w:pPr>
              <w:keepNext/>
            </w:pPr>
          </w:p>
        </w:tc>
        <w:tc>
          <w:tcPr>
            <w:tcW w:w="1755" w:type="dxa"/>
            <w:gridSpan w:val="3"/>
            <w:tcBorders>
              <w:top w:val="nil"/>
              <w:left w:val="nil"/>
              <w:bottom w:val="nil"/>
              <w:right w:val="nil"/>
            </w:tcBorders>
            <w:shd w:val="clear" w:color="auto" w:fill="FFFFFF"/>
            <w:tcMar>
              <w:top w:w="0" w:type="dxa"/>
              <w:left w:w="0" w:type="dxa"/>
              <w:bottom w:w="0" w:type="dxa"/>
              <w:right w:w="0" w:type="dxa"/>
            </w:tcMar>
            <w:vAlign w:val="bottom"/>
          </w:tcPr>
          <w:p w14:paraId="7D58332B" w14:textId="77777777" w:rsidR="002E0961" w:rsidRDefault="002E0961">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BAFF5E7" w14:textId="77777777" w:rsidR="002E0961" w:rsidRDefault="002E0961">
            <w:pPr>
              <w:keepNext/>
            </w:pPr>
          </w:p>
        </w:tc>
        <w:tc>
          <w:tcPr>
            <w:tcW w:w="1695" w:type="dxa"/>
            <w:gridSpan w:val="3"/>
            <w:tcBorders>
              <w:top w:val="nil"/>
              <w:left w:val="nil"/>
              <w:bottom w:val="nil"/>
              <w:right w:val="nil"/>
            </w:tcBorders>
            <w:shd w:val="clear" w:color="auto" w:fill="FFFFFF"/>
            <w:tcMar>
              <w:top w:w="0" w:type="dxa"/>
              <w:left w:w="0" w:type="dxa"/>
              <w:bottom w:w="0" w:type="dxa"/>
              <w:right w:w="0" w:type="dxa"/>
            </w:tcMar>
            <w:vAlign w:val="bottom"/>
          </w:tcPr>
          <w:p w14:paraId="68796D5E" w14:textId="77777777" w:rsidR="002E0961" w:rsidRDefault="002E0961">
            <w:pPr>
              <w:keepNext/>
            </w:pPr>
          </w:p>
        </w:tc>
      </w:tr>
      <w:tr w:rsidR="002E0961" w14:paraId="0116EA83" w14:textId="77777777">
        <w:trPr>
          <w:cantSplit/>
          <w:trHeight w:hRule="exact" w:val="495"/>
          <w:jc w:val="center"/>
        </w:trPr>
        <w:tc>
          <w:tcPr>
            <w:tcW w:w="5925" w:type="dxa"/>
            <w:tcBorders>
              <w:top w:val="nil"/>
              <w:left w:val="nil"/>
              <w:bottom w:val="nil"/>
              <w:right w:val="nil"/>
            </w:tcBorders>
            <w:shd w:val="clear" w:color="auto" w:fill="CCEEFF"/>
            <w:tcMar>
              <w:top w:w="0" w:type="dxa"/>
              <w:left w:w="53" w:type="dxa"/>
              <w:bottom w:w="0" w:type="dxa"/>
              <w:right w:w="53" w:type="dxa"/>
            </w:tcMar>
            <w:vAlign w:val="bottom"/>
          </w:tcPr>
          <w:p w14:paraId="744AB7CF" w14:textId="77777777" w:rsidR="002E0961" w:rsidRDefault="00BD0E60">
            <w:pPr>
              <w:keepNext/>
              <w:spacing w:before="75" w:after="30" w:line="200" w:lineRule="auto"/>
            </w:pPr>
            <w:r>
              <w:rPr>
                <w:color w:val="000000"/>
                <w:sz w:val="20"/>
              </w:rPr>
              <w:t>Net adjustments from volume deficiency payments attributable to the Partnership</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17A8891" w14:textId="77777777" w:rsidR="002E0961" w:rsidRDefault="002E0961">
            <w:pPr>
              <w:keepNext/>
            </w:pPr>
          </w:p>
        </w:tc>
        <w:tc>
          <w:tcPr>
            <w:tcW w:w="1655" w:type="dxa"/>
            <w:gridSpan w:val="2"/>
            <w:tcBorders>
              <w:top w:val="nil"/>
              <w:left w:val="nil"/>
              <w:bottom w:val="nil"/>
              <w:right w:val="nil"/>
            </w:tcBorders>
            <w:shd w:val="clear" w:color="auto" w:fill="CCEEFF"/>
            <w:tcMar>
              <w:top w:w="0" w:type="dxa"/>
              <w:left w:w="53" w:type="dxa"/>
              <w:bottom w:w="0" w:type="dxa"/>
              <w:right w:w="0" w:type="dxa"/>
            </w:tcMar>
            <w:vAlign w:val="bottom"/>
          </w:tcPr>
          <w:p w14:paraId="04D612FF" w14:textId="77777777" w:rsidR="002E0961" w:rsidRDefault="00BD0E60">
            <w:pPr>
              <w:keepNext/>
              <w:spacing w:before="75" w:after="30" w:line="200" w:lineRule="auto"/>
              <w:jc w:val="right"/>
            </w:pPr>
            <w:r>
              <w:rPr>
                <w:color w:val="000000"/>
                <w:sz w:val="20"/>
              </w:rPr>
              <w:t>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3A37EE7"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2483B95" w14:textId="77777777" w:rsidR="002E0961" w:rsidRDefault="002E0961">
            <w:pPr>
              <w:keepNext/>
            </w:pPr>
          </w:p>
        </w:tc>
        <w:tc>
          <w:tcPr>
            <w:tcW w:w="1595" w:type="dxa"/>
            <w:gridSpan w:val="2"/>
            <w:tcBorders>
              <w:top w:val="nil"/>
              <w:left w:val="nil"/>
              <w:bottom w:val="nil"/>
              <w:right w:val="nil"/>
            </w:tcBorders>
            <w:shd w:val="clear" w:color="auto" w:fill="CCEEFF"/>
            <w:tcMar>
              <w:top w:w="0" w:type="dxa"/>
              <w:left w:w="53" w:type="dxa"/>
              <w:bottom w:w="0" w:type="dxa"/>
              <w:right w:w="0" w:type="dxa"/>
            </w:tcMar>
            <w:vAlign w:val="bottom"/>
          </w:tcPr>
          <w:p w14:paraId="3822B0E6" w14:textId="77777777" w:rsidR="002E0961" w:rsidRDefault="00BD0E60">
            <w:pPr>
              <w:keepNext/>
              <w:spacing w:before="75" w:after="30" w:line="200" w:lineRule="auto"/>
              <w:jc w:val="right"/>
            </w:pPr>
            <w:r>
              <w:rPr>
                <w:color w:val="000000"/>
                <w:sz w:val="20"/>
              </w:rPr>
              <w:t>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5E9455E" w14:textId="77777777" w:rsidR="002E0961" w:rsidRDefault="002E0961">
            <w:pPr>
              <w:keepNext/>
              <w:spacing w:before="75" w:after="30" w:line="200" w:lineRule="auto"/>
            </w:pPr>
          </w:p>
        </w:tc>
      </w:tr>
      <w:tr w:rsidR="002E0961" w14:paraId="398D8CE0" w14:textId="77777777">
        <w:trPr>
          <w:cantSplit/>
          <w:trHeight w:hRule="exact" w:val="300"/>
          <w:jc w:val="center"/>
        </w:trPr>
        <w:tc>
          <w:tcPr>
            <w:tcW w:w="5925" w:type="dxa"/>
            <w:tcBorders>
              <w:top w:val="nil"/>
              <w:left w:val="nil"/>
              <w:bottom w:val="nil"/>
              <w:right w:val="nil"/>
            </w:tcBorders>
            <w:shd w:val="clear" w:color="auto" w:fill="FFFFFF"/>
            <w:tcMar>
              <w:top w:w="0" w:type="dxa"/>
              <w:left w:w="53" w:type="dxa"/>
              <w:bottom w:w="0" w:type="dxa"/>
              <w:right w:w="53" w:type="dxa"/>
            </w:tcMar>
            <w:vAlign w:val="bottom"/>
          </w:tcPr>
          <w:p w14:paraId="672F6261" w14:textId="77777777" w:rsidR="002E0961" w:rsidRDefault="00BD0E60">
            <w:pPr>
              <w:keepNext/>
              <w:spacing w:before="75" w:after="30" w:line="200" w:lineRule="auto"/>
            </w:pPr>
            <w:r>
              <w:rPr>
                <w:color w:val="000000"/>
                <w:sz w:val="20"/>
              </w:rPr>
              <w:t xml:space="preserve">Principal and interest payments received on financing receivables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FDE0553" w14:textId="77777777" w:rsidR="002E0961" w:rsidRDefault="002E0961">
            <w:pPr>
              <w:keepNext/>
            </w:pPr>
          </w:p>
        </w:tc>
        <w:tc>
          <w:tcPr>
            <w:tcW w:w="1655" w:type="dxa"/>
            <w:gridSpan w:val="2"/>
            <w:tcBorders>
              <w:top w:val="nil"/>
              <w:left w:val="nil"/>
              <w:bottom w:val="nil"/>
              <w:right w:val="nil"/>
            </w:tcBorders>
            <w:shd w:val="clear" w:color="auto" w:fill="FFFFFF"/>
            <w:tcMar>
              <w:top w:w="0" w:type="dxa"/>
              <w:left w:w="53" w:type="dxa"/>
              <w:bottom w:w="0" w:type="dxa"/>
              <w:right w:w="0" w:type="dxa"/>
            </w:tcMar>
            <w:vAlign w:val="bottom"/>
          </w:tcPr>
          <w:p w14:paraId="237EF72D" w14:textId="77777777" w:rsidR="002E0961" w:rsidRDefault="00BD0E60">
            <w:pPr>
              <w:keepNext/>
              <w:spacing w:before="75" w:after="30" w:line="200" w:lineRule="auto"/>
              <w:jc w:val="right"/>
            </w:pPr>
            <w:r>
              <w:rPr>
                <w:color w:val="000000"/>
                <w:sz w:val="20"/>
              </w:rPr>
              <w:t>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8DD51C3"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D968C91" w14:textId="77777777" w:rsidR="002E0961" w:rsidRDefault="002E0961">
            <w:pPr>
              <w:keepNext/>
            </w:pPr>
          </w:p>
        </w:tc>
        <w:tc>
          <w:tcPr>
            <w:tcW w:w="1595" w:type="dxa"/>
            <w:gridSpan w:val="2"/>
            <w:tcBorders>
              <w:top w:val="nil"/>
              <w:left w:val="nil"/>
              <w:bottom w:val="nil"/>
              <w:right w:val="nil"/>
            </w:tcBorders>
            <w:shd w:val="clear" w:color="auto" w:fill="FFFFFF"/>
            <w:tcMar>
              <w:top w:w="0" w:type="dxa"/>
              <w:left w:w="53" w:type="dxa"/>
              <w:bottom w:w="0" w:type="dxa"/>
              <w:right w:w="0" w:type="dxa"/>
            </w:tcMar>
            <w:vAlign w:val="bottom"/>
          </w:tcPr>
          <w:p w14:paraId="539B71A3" w14:textId="77777777" w:rsidR="002E0961" w:rsidRDefault="00BD0E60">
            <w:pPr>
              <w:keepNext/>
              <w:spacing w:before="75" w:after="30" w:line="200" w:lineRule="auto"/>
              <w:jc w:val="right"/>
            </w:pPr>
            <w:r>
              <w:rPr>
                <w:color w:val="000000"/>
                <w:sz w:val="20"/>
              </w:rPr>
              <w:t>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D6367B0" w14:textId="77777777" w:rsidR="002E0961" w:rsidRDefault="002E0961">
            <w:pPr>
              <w:keepNext/>
              <w:spacing w:before="75" w:after="30" w:line="200" w:lineRule="auto"/>
            </w:pPr>
          </w:p>
        </w:tc>
      </w:tr>
      <w:tr w:rsidR="002E0961" w14:paraId="0C8117CB" w14:textId="77777777">
        <w:trPr>
          <w:cantSplit/>
          <w:trHeight w:hRule="exact" w:val="495"/>
          <w:jc w:val="center"/>
        </w:trPr>
        <w:tc>
          <w:tcPr>
            <w:tcW w:w="5925" w:type="dxa"/>
            <w:tcBorders>
              <w:top w:val="nil"/>
              <w:left w:val="nil"/>
              <w:bottom w:val="nil"/>
              <w:right w:val="nil"/>
            </w:tcBorders>
            <w:shd w:val="clear" w:color="auto" w:fill="CCEEFF"/>
            <w:tcMar>
              <w:top w:w="0" w:type="dxa"/>
              <w:left w:w="53" w:type="dxa"/>
              <w:bottom w:w="0" w:type="dxa"/>
              <w:right w:w="53" w:type="dxa"/>
            </w:tcMar>
            <w:vAlign w:val="bottom"/>
          </w:tcPr>
          <w:p w14:paraId="06624139" w14:textId="77777777" w:rsidR="002E0961" w:rsidRDefault="00BD0E60">
            <w:pPr>
              <w:spacing w:before="75" w:after="30" w:line="200" w:lineRule="auto"/>
            </w:pPr>
            <w:r>
              <w:rPr>
                <w:color w:val="000000"/>
                <w:sz w:val="20"/>
              </w:rPr>
              <w:t>Cash available for distribution attributable to the Partnership’s common unitholders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6CE501" w14:textId="77777777" w:rsidR="002E0961" w:rsidRDefault="002E0961"/>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2699FACE" w14:textId="77777777" w:rsidR="002E0961" w:rsidRDefault="00BD0E60">
            <w:pPr>
              <w:spacing w:before="55" w:after="30" w:line="200" w:lineRule="auto"/>
            </w:pPr>
            <w:r>
              <w:rPr>
                <w:color w:val="000000"/>
                <w:sz w:val="20"/>
              </w:rPr>
              <w:t>$</w:t>
            </w:r>
          </w:p>
        </w:tc>
        <w:tc>
          <w:tcPr>
            <w:tcW w:w="149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7C378774" w14:textId="77777777" w:rsidR="002E0961" w:rsidRDefault="00BD0E60">
            <w:pPr>
              <w:spacing w:before="55" w:after="30" w:line="200" w:lineRule="auto"/>
              <w:jc w:val="right"/>
            </w:pPr>
            <w:r>
              <w:rPr>
                <w:color w:val="000000"/>
                <w:sz w:val="20"/>
              </w:rPr>
              <w:t>163 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9545D15" w14:textId="77777777" w:rsidR="002E0961" w:rsidRDefault="002E0961">
            <w:pPr>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483D6DB" w14:textId="77777777" w:rsidR="002E0961" w:rsidRDefault="002E0961"/>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40D65C83" w14:textId="77777777" w:rsidR="002E0961" w:rsidRDefault="00BD0E60">
            <w:pPr>
              <w:spacing w:before="55" w:after="30" w:line="200" w:lineRule="auto"/>
            </w:pPr>
            <w:r>
              <w:rPr>
                <w:color w:val="000000"/>
                <w:sz w:val="20"/>
              </w:rPr>
              <w:t>$</w:t>
            </w:r>
          </w:p>
        </w:tc>
        <w:tc>
          <w:tcPr>
            <w:tcW w:w="143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7AA7D5F8" w14:textId="77777777" w:rsidR="002E0961" w:rsidRDefault="00BD0E60">
            <w:pPr>
              <w:spacing w:before="55" w:after="30" w:line="200" w:lineRule="auto"/>
              <w:jc w:val="right"/>
            </w:pPr>
            <w:r>
              <w:rPr>
                <w:color w:val="000000"/>
                <w:sz w:val="20"/>
              </w:rPr>
              <w:t>163 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3C876C5" w14:textId="77777777" w:rsidR="002E0961" w:rsidRDefault="002E0961">
            <w:pPr>
              <w:spacing w:before="55" w:after="30" w:line="200" w:lineRule="auto"/>
            </w:pPr>
          </w:p>
        </w:tc>
      </w:tr>
    </w:tbl>
    <w:p w14:paraId="4F7A9160" w14:textId="77777777" w:rsidR="002E0961" w:rsidRDefault="00BD0E60">
      <w:pPr>
        <w:spacing w:before="120" w:line="248" w:lineRule="auto"/>
        <w:ind w:left="720" w:hanging="180"/>
        <w:rPr>
          <w:sz w:val="18"/>
          <w:vertAlign w:val="superscript"/>
        </w:rPr>
      </w:pPr>
      <w:r>
        <w:rPr>
          <w:i/>
          <w:sz w:val="18"/>
          <w:vertAlign w:val="superscript"/>
        </w:rPr>
        <w:t>(1)</w:t>
      </w:r>
      <w:r>
        <w:rPr>
          <w:i/>
          <w:sz w:val="18"/>
        </w:rPr>
        <w:t xml:space="preserve"> Amount represents both paid and accrued interest attributable to the period.</w:t>
      </w:r>
    </w:p>
    <w:p w14:paraId="2C27E66B" w14:textId="77777777" w:rsidR="002E0961" w:rsidRDefault="002E0961">
      <w:pPr>
        <w:spacing w:line="176" w:lineRule="auto"/>
        <w:ind w:left="720" w:hanging="180"/>
        <w:rPr>
          <w:i/>
          <w:sz w:val="18"/>
          <w:vertAlign w:val="superscript"/>
        </w:rPr>
      </w:pPr>
    </w:p>
    <w:p w14:paraId="11BF68D9" w14:textId="77777777" w:rsidR="002E0961" w:rsidRDefault="002E0961">
      <w:pPr>
        <w:spacing w:line="176" w:lineRule="auto"/>
        <w:rPr>
          <w:i/>
          <w:sz w:val="18"/>
          <w:vertAlign w:val="superscript"/>
        </w:rPr>
      </w:pPr>
    </w:p>
    <w:p w14:paraId="7725F55D" w14:textId="77777777" w:rsidR="002E0961" w:rsidRDefault="002E0961">
      <w:pPr>
        <w:spacing w:line="248" w:lineRule="auto"/>
        <w:ind w:left="180" w:hanging="180"/>
        <w:rPr>
          <w:rFonts w:ascii="Arial" w:eastAsia="Arial" w:hAnsi="Arial" w:cs="Arial"/>
        </w:rPr>
      </w:pPr>
    </w:p>
    <w:p w14:paraId="0642FB42" w14:textId="77777777" w:rsidR="002E0961" w:rsidRDefault="00BD0E60">
      <w:pPr>
        <w:spacing w:line="248" w:lineRule="auto"/>
        <w:rPr>
          <w:i/>
          <w:sz w:val="20"/>
        </w:rPr>
      </w:pPr>
      <w:r>
        <w:rPr>
          <w:sz w:val="20"/>
        </w:rPr>
        <w:t>See</w:t>
      </w:r>
      <w:r>
        <w:rPr>
          <w:i/>
          <w:sz w:val="20"/>
        </w:rPr>
        <w:t xml:space="preserve"> </w:t>
      </w:r>
      <w:r>
        <w:rPr>
          <w:sz w:val="20"/>
        </w:rPr>
        <w:t>“</w:t>
      </w:r>
      <w:r>
        <w:rPr>
          <w:i/>
          <w:sz w:val="20"/>
        </w:rPr>
        <w:t>Non-GAAP Financial Measures</w:t>
      </w:r>
      <w:r>
        <w:rPr>
          <w:sz w:val="20"/>
        </w:rPr>
        <w:t>”</w:t>
      </w:r>
      <w:r>
        <w:rPr>
          <w:i/>
          <w:sz w:val="20"/>
        </w:rPr>
        <w:t xml:space="preserve"> </w:t>
      </w:r>
      <w:r>
        <w:rPr>
          <w:sz w:val="20"/>
        </w:rPr>
        <w:t>later in this press release.</w:t>
      </w:r>
    </w:p>
    <w:p w14:paraId="52ADB9DD" w14:textId="77777777" w:rsidR="002E0961" w:rsidRDefault="002E0961">
      <w:pPr>
        <w:spacing w:line="248" w:lineRule="auto"/>
        <w:jc w:val="both"/>
        <w:rPr>
          <w:i/>
          <w:sz w:val="20"/>
        </w:rPr>
      </w:pPr>
    </w:p>
    <w:p w14:paraId="6DC03789" w14:textId="77777777" w:rsidR="002E0961" w:rsidRDefault="002E0961">
      <w:pPr>
        <w:spacing w:line="248" w:lineRule="auto"/>
        <w:rPr>
          <w:sz w:val="20"/>
        </w:rPr>
      </w:pPr>
    </w:p>
    <w:p w14:paraId="021F8453" w14:textId="77777777" w:rsidR="002E0961" w:rsidRDefault="002E0961">
      <w:pPr>
        <w:spacing w:line="248" w:lineRule="auto"/>
        <w:rPr>
          <w:sz w:val="20"/>
        </w:rPr>
      </w:pPr>
    </w:p>
    <w:p w14:paraId="0E2419E1" w14:textId="77777777" w:rsidR="002E0961" w:rsidRDefault="002E0961">
      <w:pPr>
        <w:pageBreakBefore/>
        <w:spacing w:line="248" w:lineRule="auto"/>
        <w:rPr>
          <w:rFonts w:ascii="Arial" w:eastAsia="Arial" w:hAnsi="Arial" w:cs="Arial"/>
        </w:rPr>
      </w:pPr>
    </w:p>
    <w:tbl>
      <w:tblPr>
        <w:tblW w:w="10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6"/>
        <w:gridCol w:w="76"/>
        <w:gridCol w:w="163"/>
        <w:gridCol w:w="1464"/>
        <w:gridCol w:w="102"/>
        <w:gridCol w:w="76"/>
        <w:gridCol w:w="163"/>
        <w:gridCol w:w="1418"/>
        <w:gridCol w:w="102"/>
      </w:tblGrid>
      <w:tr w:rsidR="002E0961" w14:paraId="47FC7702" w14:textId="77777777">
        <w:trPr>
          <w:cantSplit/>
          <w:trHeight w:hRule="exact" w:val="600"/>
          <w:jc w:val="center"/>
        </w:trPr>
        <w:tc>
          <w:tcPr>
            <w:tcW w:w="10020" w:type="dxa"/>
            <w:gridSpan w:val="9"/>
            <w:tcBorders>
              <w:top w:val="nil"/>
              <w:left w:val="nil"/>
              <w:bottom w:val="nil"/>
              <w:right w:val="nil"/>
            </w:tcBorders>
            <w:tcMar>
              <w:top w:w="0" w:type="dxa"/>
              <w:left w:w="53" w:type="dxa"/>
              <w:bottom w:w="0" w:type="dxa"/>
              <w:right w:w="53" w:type="dxa"/>
            </w:tcMar>
            <w:vAlign w:val="bottom"/>
          </w:tcPr>
          <w:p w14:paraId="1A018949" w14:textId="77777777" w:rsidR="002E0961" w:rsidRDefault="00BD0E60">
            <w:pPr>
              <w:keepNext/>
              <w:spacing w:before="75" w:after="30" w:line="209" w:lineRule="auto"/>
              <w:rPr>
                <w:b/>
                <w:sz w:val="22"/>
              </w:rPr>
            </w:pPr>
            <w:r>
              <w:rPr>
                <w:b/>
                <w:sz w:val="22"/>
              </w:rPr>
              <w:t>Reconciliation of Adjusted EBITDA and Cash Available for Distribution to Net Cash Provided by Operating Activities</w:t>
            </w:r>
          </w:p>
        </w:tc>
      </w:tr>
      <w:tr w:rsidR="002E0961" w14:paraId="5281F1E2" w14:textId="77777777">
        <w:trPr>
          <w:cantSplit/>
          <w:trHeight w:hRule="exact" w:val="300"/>
          <w:jc w:val="center"/>
        </w:trPr>
        <w:tc>
          <w:tcPr>
            <w:tcW w:w="6525" w:type="dxa"/>
            <w:tcBorders>
              <w:top w:val="nil"/>
              <w:left w:val="nil"/>
              <w:bottom w:val="nil"/>
              <w:right w:val="nil"/>
            </w:tcBorders>
            <w:tcMar>
              <w:top w:w="0" w:type="dxa"/>
              <w:left w:w="0" w:type="dxa"/>
              <w:bottom w:w="0" w:type="dxa"/>
              <w:right w:w="0" w:type="dxa"/>
            </w:tcMar>
            <w:vAlign w:val="bottom"/>
          </w:tcPr>
          <w:p w14:paraId="3B6E5820" w14:textId="77777777" w:rsidR="002E0961" w:rsidRDefault="002E0961">
            <w:pPr>
              <w:keepNext/>
            </w:pPr>
          </w:p>
        </w:tc>
        <w:tc>
          <w:tcPr>
            <w:tcW w:w="75" w:type="dxa"/>
            <w:tcBorders>
              <w:top w:val="nil"/>
              <w:left w:val="nil"/>
              <w:bottom w:val="nil"/>
              <w:right w:val="nil"/>
            </w:tcBorders>
            <w:tcMar>
              <w:top w:w="0" w:type="dxa"/>
              <w:left w:w="0" w:type="dxa"/>
              <w:bottom w:w="0" w:type="dxa"/>
              <w:right w:w="0" w:type="dxa"/>
            </w:tcMar>
            <w:vAlign w:val="bottom"/>
          </w:tcPr>
          <w:p w14:paraId="133799A5" w14:textId="77777777" w:rsidR="002E0961" w:rsidRDefault="002E0961">
            <w:pPr>
              <w:keepNext/>
            </w:pPr>
          </w:p>
        </w:tc>
        <w:tc>
          <w:tcPr>
            <w:tcW w:w="3420" w:type="dxa"/>
            <w:gridSpan w:val="7"/>
            <w:tcBorders>
              <w:top w:val="nil"/>
              <w:left w:val="nil"/>
              <w:bottom w:val="nil"/>
              <w:right w:val="nil"/>
            </w:tcBorders>
            <w:tcMar>
              <w:top w:w="0" w:type="dxa"/>
              <w:left w:w="53" w:type="dxa"/>
              <w:bottom w:w="0" w:type="dxa"/>
              <w:right w:w="53" w:type="dxa"/>
            </w:tcMar>
            <w:vAlign w:val="bottom"/>
          </w:tcPr>
          <w:p w14:paraId="570E167F" w14:textId="77777777" w:rsidR="002E0961" w:rsidRDefault="00BD0E60">
            <w:pPr>
              <w:keepNext/>
              <w:spacing w:before="75" w:after="30" w:line="200" w:lineRule="auto"/>
              <w:jc w:val="center"/>
            </w:pPr>
            <w:r>
              <w:rPr>
                <w:b/>
                <w:color w:val="000000"/>
                <w:sz w:val="16"/>
              </w:rPr>
              <w:t>For the Three Months Ended</w:t>
            </w:r>
          </w:p>
        </w:tc>
      </w:tr>
      <w:tr w:rsidR="002E0961" w14:paraId="2C04D678" w14:textId="77777777">
        <w:trPr>
          <w:cantSplit/>
          <w:trHeight w:hRule="exact" w:val="255"/>
          <w:jc w:val="center"/>
        </w:trPr>
        <w:tc>
          <w:tcPr>
            <w:tcW w:w="6525" w:type="dxa"/>
            <w:tcBorders>
              <w:top w:val="nil"/>
              <w:left w:val="nil"/>
              <w:bottom w:val="nil"/>
              <w:right w:val="nil"/>
            </w:tcBorders>
            <w:tcMar>
              <w:top w:w="0" w:type="dxa"/>
              <w:left w:w="53" w:type="dxa"/>
              <w:bottom w:w="0" w:type="dxa"/>
              <w:right w:w="53" w:type="dxa"/>
            </w:tcMar>
            <w:vAlign w:val="bottom"/>
          </w:tcPr>
          <w:p w14:paraId="5E294C95" w14:textId="77777777" w:rsidR="002E0961" w:rsidRDefault="00BD0E60">
            <w:pPr>
              <w:keepNext/>
              <w:spacing w:before="75" w:after="30" w:line="200" w:lineRule="auto"/>
            </w:pPr>
            <w:r>
              <w:rPr>
                <w:b/>
                <w:color w:val="000000"/>
                <w:sz w:val="16"/>
              </w:rPr>
              <w:t>(in millions of dollars)</w:t>
            </w:r>
          </w:p>
        </w:tc>
        <w:tc>
          <w:tcPr>
            <w:tcW w:w="75" w:type="dxa"/>
            <w:tcBorders>
              <w:top w:val="nil"/>
              <w:left w:val="nil"/>
              <w:bottom w:val="nil"/>
              <w:right w:val="nil"/>
            </w:tcBorders>
            <w:tcMar>
              <w:top w:w="0" w:type="dxa"/>
              <w:left w:w="0" w:type="dxa"/>
              <w:bottom w:w="0" w:type="dxa"/>
              <w:right w:w="0" w:type="dxa"/>
            </w:tcMar>
            <w:vAlign w:val="bottom"/>
          </w:tcPr>
          <w:p w14:paraId="716BD607" w14:textId="77777777" w:rsidR="002E0961" w:rsidRDefault="002E0961">
            <w:pPr>
              <w:keepNext/>
            </w:pPr>
          </w:p>
        </w:tc>
        <w:tc>
          <w:tcPr>
            <w:tcW w:w="169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50FECBF2" w14:textId="77777777" w:rsidR="002E0961" w:rsidRDefault="00BD0E60">
            <w:pPr>
              <w:keepNext/>
              <w:spacing w:before="55" w:after="30" w:line="200" w:lineRule="auto"/>
              <w:jc w:val="center"/>
            </w:pPr>
            <w:r>
              <w:rPr>
                <w:b/>
                <w:color w:val="000000"/>
                <w:sz w:val="16"/>
              </w:rPr>
              <w:t>September 30, 2020</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59E2D110" w14:textId="77777777" w:rsidR="002E0961" w:rsidRDefault="002E0961">
            <w:pPr>
              <w:keepNext/>
            </w:pPr>
          </w:p>
        </w:tc>
        <w:tc>
          <w:tcPr>
            <w:tcW w:w="165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6D7B3DF5" w14:textId="77777777" w:rsidR="002E0961" w:rsidRDefault="00BD0E60">
            <w:pPr>
              <w:keepNext/>
              <w:spacing w:before="55" w:after="30" w:line="200" w:lineRule="auto"/>
              <w:jc w:val="center"/>
            </w:pPr>
            <w:r>
              <w:rPr>
                <w:b/>
                <w:color w:val="000000"/>
                <w:sz w:val="16"/>
              </w:rPr>
              <w:t>June 30, 2020</w:t>
            </w:r>
          </w:p>
        </w:tc>
      </w:tr>
      <w:tr w:rsidR="002E0961" w14:paraId="37FF7304" w14:textId="77777777">
        <w:trPr>
          <w:cantSplit/>
          <w:trHeight w:hRule="exact" w:val="300"/>
          <w:jc w:val="center"/>
        </w:trPr>
        <w:tc>
          <w:tcPr>
            <w:tcW w:w="6525" w:type="dxa"/>
            <w:tcBorders>
              <w:top w:val="nil"/>
              <w:left w:val="nil"/>
              <w:bottom w:val="nil"/>
              <w:right w:val="nil"/>
            </w:tcBorders>
            <w:shd w:val="clear" w:color="auto" w:fill="CCEEFF"/>
            <w:tcMar>
              <w:top w:w="0" w:type="dxa"/>
              <w:left w:w="53" w:type="dxa"/>
              <w:bottom w:w="0" w:type="dxa"/>
              <w:right w:w="53" w:type="dxa"/>
            </w:tcMar>
            <w:vAlign w:val="bottom"/>
          </w:tcPr>
          <w:p w14:paraId="50A473D0" w14:textId="77777777" w:rsidR="002E0961" w:rsidRDefault="00BD0E60">
            <w:pPr>
              <w:keepNext/>
              <w:spacing w:before="75" w:after="30" w:line="200" w:lineRule="auto"/>
            </w:pPr>
            <w:r>
              <w:rPr>
                <w:color w:val="000000"/>
                <w:sz w:val="20"/>
              </w:rPr>
              <w:t>Net cash provided by operating activities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FFBD192" w14:textId="77777777" w:rsidR="002E0961" w:rsidRDefault="002E0961">
            <w:pPr>
              <w:keepNext/>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0AA3B42B" w14:textId="77777777" w:rsidR="002E0961" w:rsidRDefault="00BD0E60">
            <w:pPr>
              <w:keepNext/>
              <w:spacing w:before="55" w:after="30" w:line="200" w:lineRule="auto"/>
            </w:pPr>
            <w:r>
              <w:rPr>
                <w:color w:val="000000"/>
                <w:sz w:val="20"/>
              </w:rPr>
              <w:t>$</w:t>
            </w:r>
          </w:p>
        </w:tc>
        <w:tc>
          <w:tcPr>
            <w:tcW w:w="143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5439F33" w14:textId="77777777" w:rsidR="002E0961" w:rsidRDefault="00BD0E60">
            <w:pPr>
              <w:keepNext/>
              <w:spacing w:before="55" w:after="30" w:line="200" w:lineRule="auto"/>
              <w:jc w:val="right"/>
            </w:pPr>
            <w:r>
              <w:rPr>
                <w:color w:val="000000"/>
                <w:sz w:val="20"/>
              </w:rPr>
              <w:t>149 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E3F4F9A" w14:textId="77777777" w:rsidR="002E0961" w:rsidRDefault="002E0961">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DDDAC3F" w14:textId="77777777" w:rsidR="002E0961" w:rsidRDefault="002E0961">
            <w:pPr>
              <w:keepNext/>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6C25DCE7" w14:textId="77777777" w:rsidR="002E0961" w:rsidRDefault="00BD0E60">
            <w:pPr>
              <w:keepNext/>
              <w:spacing w:before="55" w:after="30" w:line="200" w:lineRule="auto"/>
            </w:pPr>
            <w:r>
              <w:rPr>
                <w:color w:val="000000"/>
                <w:sz w:val="20"/>
              </w:rPr>
              <w:t>$</w:t>
            </w:r>
          </w:p>
        </w:tc>
        <w:tc>
          <w:tcPr>
            <w:tcW w:w="139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398790A" w14:textId="77777777" w:rsidR="002E0961" w:rsidRDefault="00BD0E60">
            <w:pPr>
              <w:keepNext/>
              <w:spacing w:before="55" w:after="30" w:line="200" w:lineRule="auto"/>
              <w:jc w:val="right"/>
            </w:pPr>
            <w:r>
              <w:rPr>
                <w:color w:val="000000"/>
                <w:sz w:val="20"/>
              </w:rPr>
              <w:t>192 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B683680" w14:textId="77777777" w:rsidR="002E0961" w:rsidRDefault="002E0961">
            <w:pPr>
              <w:keepNext/>
              <w:spacing w:before="55" w:after="30" w:line="200" w:lineRule="auto"/>
            </w:pPr>
          </w:p>
        </w:tc>
      </w:tr>
      <w:tr w:rsidR="002E0961" w14:paraId="439DE3F1" w14:textId="77777777">
        <w:trPr>
          <w:cantSplit/>
          <w:trHeight w:hRule="exact" w:val="300"/>
          <w:jc w:val="center"/>
        </w:trPr>
        <w:tc>
          <w:tcPr>
            <w:tcW w:w="6525" w:type="dxa"/>
            <w:tcBorders>
              <w:top w:val="nil"/>
              <w:left w:val="nil"/>
              <w:bottom w:val="nil"/>
              <w:right w:val="nil"/>
            </w:tcBorders>
            <w:shd w:val="clear" w:color="auto" w:fill="FFFFFF"/>
            <w:tcMar>
              <w:top w:w="0" w:type="dxa"/>
              <w:left w:w="53" w:type="dxa"/>
              <w:bottom w:w="0" w:type="dxa"/>
              <w:right w:w="53" w:type="dxa"/>
            </w:tcMar>
            <w:vAlign w:val="bottom"/>
          </w:tcPr>
          <w:p w14:paraId="5DEC21DD" w14:textId="77777777" w:rsidR="002E0961" w:rsidRDefault="00BD0E60">
            <w:pPr>
              <w:keepNext/>
              <w:spacing w:before="75" w:after="30" w:line="200" w:lineRule="auto"/>
            </w:pPr>
            <w:r>
              <w:rPr>
                <w:color w:val="000000"/>
                <w:sz w:val="20"/>
              </w:rPr>
              <w:t>Add: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6DC0B14" w14:textId="77777777" w:rsidR="002E0961" w:rsidRDefault="002E0961">
            <w:pPr>
              <w:keepNext/>
            </w:pPr>
          </w:p>
        </w:tc>
        <w:tc>
          <w:tcPr>
            <w:tcW w:w="1695" w:type="dxa"/>
            <w:gridSpan w:val="3"/>
            <w:tcBorders>
              <w:top w:val="nil"/>
              <w:left w:val="nil"/>
              <w:bottom w:val="nil"/>
              <w:right w:val="nil"/>
            </w:tcBorders>
            <w:shd w:val="clear" w:color="auto" w:fill="FFFFFF"/>
            <w:tcMar>
              <w:top w:w="0" w:type="dxa"/>
              <w:left w:w="0" w:type="dxa"/>
              <w:bottom w:w="0" w:type="dxa"/>
              <w:right w:w="0" w:type="dxa"/>
            </w:tcMar>
            <w:vAlign w:val="bottom"/>
          </w:tcPr>
          <w:p w14:paraId="02A1D869" w14:textId="77777777" w:rsidR="002E0961" w:rsidRDefault="002E0961">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5F7D4F7" w14:textId="77777777" w:rsidR="002E0961" w:rsidRDefault="002E0961">
            <w:pPr>
              <w:keepNext/>
            </w:pPr>
          </w:p>
        </w:tc>
        <w:tc>
          <w:tcPr>
            <w:tcW w:w="1650" w:type="dxa"/>
            <w:gridSpan w:val="3"/>
            <w:tcBorders>
              <w:top w:val="nil"/>
              <w:left w:val="nil"/>
              <w:bottom w:val="nil"/>
              <w:right w:val="nil"/>
            </w:tcBorders>
            <w:shd w:val="clear" w:color="auto" w:fill="FFFFFF"/>
            <w:tcMar>
              <w:top w:w="0" w:type="dxa"/>
              <w:left w:w="0" w:type="dxa"/>
              <w:bottom w:w="0" w:type="dxa"/>
              <w:right w:w="0" w:type="dxa"/>
            </w:tcMar>
            <w:vAlign w:val="bottom"/>
          </w:tcPr>
          <w:p w14:paraId="5FB1D0A3" w14:textId="77777777" w:rsidR="002E0961" w:rsidRDefault="002E0961">
            <w:pPr>
              <w:keepNext/>
            </w:pPr>
          </w:p>
        </w:tc>
      </w:tr>
      <w:tr w:rsidR="002E0961" w14:paraId="797DB1C0" w14:textId="77777777">
        <w:trPr>
          <w:cantSplit/>
          <w:trHeight w:hRule="exact" w:val="300"/>
          <w:jc w:val="center"/>
        </w:trPr>
        <w:tc>
          <w:tcPr>
            <w:tcW w:w="6525" w:type="dxa"/>
            <w:tcBorders>
              <w:top w:val="nil"/>
              <w:left w:val="nil"/>
              <w:bottom w:val="nil"/>
              <w:right w:val="nil"/>
            </w:tcBorders>
            <w:shd w:val="clear" w:color="auto" w:fill="CCEEFF"/>
            <w:tcMar>
              <w:top w:w="0" w:type="dxa"/>
              <w:left w:w="53" w:type="dxa"/>
              <w:bottom w:w="0" w:type="dxa"/>
              <w:right w:w="53" w:type="dxa"/>
            </w:tcMar>
            <w:vAlign w:val="bottom"/>
          </w:tcPr>
          <w:p w14:paraId="1B3E6F84" w14:textId="77777777" w:rsidR="002E0961" w:rsidRDefault="00BD0E60">
            <w:pPr>
              <w:keepNext/>
              <w:spacing w:before="75" w:after="30" w:line="200" w:lineRule="auto"/>
            </w:pPr>
            <w:r>
              <w:rPr>
                <w:color w:val="000000"/>
                <w:sz w:val="20"/>
              </w:rPr>
              <w:t>Interest income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548E20F" w14:textId="77777777" w:rsidR="002E0961" w:rsidRDefault="002E0961">
            <w:pPr>
              <w:keepNext/>
            </w:pPr>
          </w:p>
        </w:tc>
        <w:tc>
          <w:tcPr>
            <w:tcW w:w="1595" w:type="dxa"/>
            <w:gridSpan w:val="2"/>
            <w:tcBorders>
              <w:top w:val="nil"/>
              <w:left w:val="nil"/>
              <w:bottom w:val="nil"/>
              <w:right w:val="nil"/>
            </w:tcBorders>
            <w:shd w:val="clear" w:color="auto" w:fill="CCEEFF"/>
            <w:tcMar>
              <w:top w:w="0" w:type="dxa"/>
              <w:left w:w="53" w:type="dxa"/>
              <w:bottom w:w="0" w:type="dxa"/>
              <w:right w:w="0" w:type="dxa"/>
            </w:tcMar>
            <w:vAlign w:val="bottom"/>
          </w:tcPr>
          <w:p w14:paraId="181541C1" w14:textId="77777777" w:rsidR="002E0961" w:rsidRDefault="00BD0E60">
            <w:pPr>
              <w:keepNext/>
              <w:spacing w:before="75" w:after="30" w:line="200" w:lineRule="auto"/>
              <w:jc w:val="right"/>
            </w:pPr>
            <w:r>
              <w:rPr>
                <w:color w:val="000000"/>
                <w:sz w:val="20"/>
              </w:rPr>
              <w:t>(8)</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2883699"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EA348E0" w14:textId="77777777" w:rsidR="002E0961" w:rsidRDefault="002E0961">
            <w:pPr>
              <w:keepNext/>
            </w:pPr>
          </w:p>
        </w:tc>
        <w:tc>
          <w:tcPr>
            <w:tcW w:w="1550" w:type="dxa"/>
            <w:gridSpan w:val="2"/>
            <w:tcBorders>
              <w:top w:val="nil"/>
              <w:left w:val="nil"/>
              <w:bottom w:val="nil"/>
              <w:right w:val="nil"/>
            </w:tcBorders>
            <w:shd w:val="clear" w:color="auto" w:fill="CCEEFF"/>
            <w:tcMar>
              <w:top w:w="0" w:type="dxa"/>
              <w:left w:w="53" w:type="dxa"/>
              <w:bottom w:w="0" w:type="dxa"/>
              <w:right w:w="0" w:type="dxa"/>
            </w:tcMar>
            <w:vAlign w:val="bottom"/>
          </w:tcPr>
          <w:p w14:paraId="192F832F" w14:textId="77777777" w:rsidR="002E0961" w:rsidRDefault="00BD0E60">
            <w:pPr>
              <w:keepNext/>
              <w:spacing w:before="75" w:after="30" w:line="200" w:lineRule="auto"/>
              <w:jc w:val="right"/>
            </w:pPr>
            <w:r>
              <w:rPr>
                <w:color w:val="000000"/>
                <w:sz w:val="20"/>
              </w:rPr>
              <w:t>(7)</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EC86955" w14:textId="77777777" w:rsidR="002E0961" w:rsidRDefault="002E0961">
            <w:pPr>
              <w:keepNext/>
              <w:spacing w:before="75" w:after="30" w:line="200" w:lineRule="auto"/>
            </w:pPr>
          </w:p>
        </w:tc>
      </w:tr>
      <w:tr w:rsidR="002E0961" w14:paraId="26D7441F" w14:textId="77777777">
        <w:trPr>
          <w:cantSplit/>
          <w:trHeight w:hRule="exact" w:val="300"/>
          <w:jc w:val="center"/>
        </w:trPr>
        <w:tc>
          <w:tcPr>
            <w:tcW w:w="6525" w:type="dxa"/>
            <w:tcBorders>
              <w:top w:val="nil"/>
              <w:left w:val="nil"/>
              <w:bottom w:val="nil"/>
              <w:right w:val="nil"/>
            </w:tcBorders>
            <w:shd w:val="clear" w:color="auto" w:fill="FFFFFF"/>
            <w:tcMar>
              <w:top w:w="0" w:type="dxa"/>
              <w:left w:w="53" w:type="dxa"/>
              <w:bottom w:w="0" w:type="dxa"/>
              <w:right w:w="53" w:type="dxa"/>
            </w:tcMar>
            <w:vAlign w:val="bottom"/>
          </w:tcPr>
          <w:p w14:paraId="661904B7" w14:textId="77777777" w:rsidR="002E0961" w:rsidRDefault="00BD0E60">
            <w:pPr>
              <w:keepNext/>
              <w:spacing w:before="75" w:after="30" w:line="200" w:lineRule="auto"/>
            </w:pPr>
            <w:r>
              <w:rPr>
                <w:color w:val="000000"/>
                <w:sz w:val="20"/>
              </w:rPr>
              <w:t>Interest expense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8D6C4F5" w14:textId="77777777" w:rsidR="002E0961" w:rsidRDefault="002E0961">
            <w:pPr>
              <w:keepNext/>
            </w:pPr>
          </w:p>
        </w:tc>
        <w:tc>
          <w:tcPr>
            <w:tcW w:w="1595" w:type="dxa"/>
            <w:gridSpan w:val="2"/>
            <w:tcBorders>
              <w:top w:val="nil"/>
              <w:left w:val="nil"/>
              <w:bottom w:val="nil"/>
              <w:right w:val="nil"/>
            </w:tcBorders>
            <w:shd w:val="clear" w:color="auto" w:fill="FFFFFF"/>
            <w:tcMar>
              <w:top w:w="0" w:type="dxa"/>
              <w:left w:w="53" w:type="dxa"/>
              <w:bottom w:w="0" w:type="dxa"/>
              <w:right w:w="0" w:type="dxa"/>
            </w:tcMar>
            <w:vAlign w:val="bottom"/>
          </w:tcPr>
          <w:p w14:paraId="124EDB1A" w14:textId="77777777" w:rsidR="002E0961" w:rsidRDefault="00BD0E60">
            <w:pPr>
              <w:keepNext/>
              <w:spacing w:before="75" w:after="30" w:line="200" w:lineRule="auto"/>
              <w:jc w:val="right"/>
            </w:pPr>
            <w:r>
              <w:rPr>
                <w:color w:val="000000"/>
                <w:sz w:val="20"/>
              </w:rPr>
              <w:t>22 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6381DBA"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1D96BFE" w14:textId="77777777" w:rsidR="002E0961" w:rsidRDefault="002E0961">
            <w:pPr>
              <w:keepNext/>
            </w:pPr>
          </w:p>
        </w:tc>
        <w:tc>
          <w:tcPr>
            <w:tcW w:w="1550" w:type="dxa"/>
            <w:gridSpan w:val="2"/>
            <w:tcBorders>
              <w:top w:val="nil"/>
              <w:left w:val="nil"/>
              <w:bottom w:val="nil"/>
              <w:right w:val="nil"/>
            </w:tcBorders>
            <w:shd w:val="clear" w:color="auto" w:fill="FFFFFF"/>
            <w:tcMar>
              <w:top w:w="0" w:type="dxa"/>
              <w:left w:w="53" w:type="dxa"/>
              <w:bottom w:w="0" w:type="dxa"/>
              <w:right w:w="0" w:type="dxa"/>
            </w:tcMar>
            <w:vAlign w:val="bottom"/>
          </w:tcPr>
          <w:p w14:paraId="6D10E030" w14:textId="77777777" w:rsidR="002E0961" w:rsidRDefault="00BD0E60">
            <w:pPr>
              <w:keepNext/>
              <w:spacing w:before="75" w:after="30" w:line="200" w:lineRule="auto"/>
              <w:jc w:val="right"/>
            </w:pPr>
            <w:r>
              <w:rPr>
                <w:color w:val="000000"/>
                <w:sz w:val="20"/>
              </w:rPr>
              <w:t>24 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B758760" w14:textId="77777777" w:rsidR="002E0961" w:rsidRDefault="002E0961">
            <w:pPr>
              <w:keepNext/>
              <w:spacing w:before="75" w:after="30" w:line="200" w:lineRule="auto"/>
            </w:pPr>
          </w:p>
        </w:tc>
      </w:tr>
      <w:tr w:rsidR="002E0961" w14:paraId="06253039" w14:textId="77777777">
        <w:trPr>
          <w:cantSplit/>
          <w:trHeight w:hRule="exact" w:val="300"/>
          <w:jc w:val="center"/>
        </w:trPr>
        <w:tc>
          <w:tcPr>
            <w:tcW w:w="6525" w:type="dxa"/>
            <w:tcBorders>
              <w:top w:val="nil"/>
              <w:left w:val="nil"/>
              <w:bottom w:val="nil"/>
              <w:right w:val="nil"/>
            </w:tcBorders>
            <w:shd w:val="clear" w:color="auto" w:fill="CCEEFF"/>
            <w:tcMar>
              <w:top w:w="0" w:type="dxa"/>
              <w:left w:w="53" w:type="dxa"/>
              <w:bottom w:w="0" w:type="dxa"/>
              <w:right w:w="53" w:type="dxa"/>
            </w:tcMar>
            <w:vAlign w:val="bottom"/>
          </w:tcPr>
          <w:p w14:paraId="2B5D0F5D" w14:textId="77777777" w:rsidR="002E0961" w:rsidRDefault="00BD0E60">
            <w:pPr>
              <w:keepNext/>
              <w:spacing w:before="75" w:after="30" w:line="200" w:lineRule="auto"/>
            </w:pPr>
            <w:r>
              <w:rPr>
                <w:color w:val="000000"/>
                <w:sz w:val="20"/>
              </w:rPr>
              <w:t>Return of investment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C231BCF" w14:textId="77777777" w:rsidR="002E0961" w:rsidRDefault="002E0961">
            <w:pPr>
              <w:keepNext/>
            </w:pPr>
          </w:p>
        </w:tc>
        <w:tc>
          <w:tcPr>
            <w:tcW w:w="1595" w:type="dxa"/>
            <w:gridSpan w:val="2"/>
            <w:tcBorders>
              <w:top w:val="nil"/>
              <w:left w:val="nil"/>
              <w:bottom w:val="nil"/>
              <w:right w:val="nil"/>
            </w:tcBorders>
            <w:shd w:val="clear" w:color="auto" w:fill="CCEEFF"/>
            <w:tcMar>
              <w:top w:w="0" w:type="dxa"/>
              <w:left w:w="53" w:type="dxa"/>
              <w:bottom w:w="0" w:type="dxa"/>
              <w:right w:w="0" w:type="dxa"/>
            </w:tcMar>
            <w:vAlign w:val="bottom"/>
          </w:tcPr>
          <w:p w14:paraId="59EE9071" w14:textId="77777777" w:rsidR="002E0961" w:rsidRDefault="00BD0E60">
            <w:pPr>
              <w:keepNext/>
              <w:spacing w:before="75" w:after="30" w:line="200" w:lineRule="auto"/>
              <w:jc w:val="right"/>
            </w:pPr>
            <w:r>
              <w:rPr>
                <w:color w:val="000000"/>
                <w:sz w:val="20"/>
              </w:rPr>
              <w:t>30 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0281A64"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D8931EB" w14:textId="77777777" w:rsidR="002E0961" w:rsidRDefault="002E0961">
            <w:pPr>
              <w:keepNext/>
            </w:pPr>
          </w:p>
        </w:tc>
        <w:tc>
          <w:tcPr>
            <w:tcW w:w="1550" w:type="dxa"/>
            <w:gridSpan w:val="2"/>
            <w:tcBorders>
              <w:top w:val="nil"/>
              <w:left w:val="nil"/>
              <w:bottom w:val="nil"/>
              <w:right w:val="nil"/>
            </w:tcBorders>
            <w:shd w:val="clear" w:color="auto" w:fill="CCEEFF"/>
            <w:tcMar>
              <w:top w:w="0" w:type="dxa"/>
              <w:left w:w="53" w:type="dxa"/>
              <w:bottom w:w="0" w:type="dxa"/>
              <w:right w:w="0" w:type="dxa"/>
            </w:tcMar>
            <w:vAlign w:val="bottom"/>
          </w:tcPr>
          <w:p w14:paraId="634CB1B3" w14:textId="77777777" w:rsidR="002E0961" w:rsidRDefault="00BD0E60">
            <w:pPr>
              <w:keepNext/>
              <w:spacing w:before="75" w:after="30" w:line="200" w:lineRule="auto"/>
              <w:jc w:val="right"/>
            </w:pPr>
            <w:r>
              <w:rPr>
                <w:color w:val="000000"/>
                <w:sz w:val="20"/>
              </w:rPr>
              <w:t>18 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04A1C1D" w14:textId="77777777" w:rsidR="002E0961" w:rsidRDefault="002E0961">
            <w:pPr>
              <w:keepNext/>
              <w:spacing w:before="75" w:after="30" w:line="200" w:lineRule="auto"/>
            </w:pPr>
          </w:p>
        </w:tc>
      </w:tr>
      <w:tr w:rsidR="002E0961" w14:paraId="0018EEDE" w14:textId="77777777">
        <w:trPr>
          <w:cantSplit/>
          <w:trHeight w:hRule="exact" w:val="300"/>
          <w:jc w:val="center"/>
        </w:trPr>
        <w:tc>
          <w:tcPr>
            <w:tcW w:w="6525" w:type="dxa"/>
            <w:tcBorders>
              <w:top w:val="nil"/>
              <w:left w:val="nil"/>
              <w:bottom w:val="nil"/>
              <w:right w:val="nil"/>
            </w:tcBorders>
            <w:shd w:val="clear" w:color="auto" w:fill="FFFFFF"/>
            <w:tcMar>
              <w:top w:w="0" w:type="dxa"/>
              <w:left w:w="53" w:type="dxa"/>
              <w:bottom w:w="0" w:type="dxa"/>
              <w:right w:w="53" w:type="dxa"/>
            </w:tcMar>
            <w:vAlign w:val="bottom"/>
          </w:tcPr>
          <w:p w14:paraId="5BB7AA36" w14:textId="77777777" w:rsidR="002E0961" w:rsidRDefault="00BD0E60">
            <w:pPr>
              <w:keepNext/>
              <w:spacing w:before="75" w:after="30" w:line="200" w:lineRule="auto"/>
            </w:pPr>
            <w:r>
              <w:rPr>
                <w:color w:val="000000"/>
                <w:sz w:val="20"/>
              </w:rPr>
              <w:t>Less: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009B99A" w14:textId="77777777" w:rsidR="002E0961" w:rsidRDefault="002E0961">
            <w:pPr>
              <w:keepNext/>
            </w:pPr>
          </w:p>
        </w:tc>
        <w:tc>
          <w:tcPr>
            <w:tcW w:w="1695" w:type="dxa"/>
            <w:gridSpan w:val="3"/>
            <w:tcBorders>
              <w:top w:val="nil"/>
              <w:left w:val="nil"/>
              <w:bottom w:val="nil"/>
              <w:right w:val="nil"/>
            </w:tcBorders>
            <w:shd w:val="clear" w:color="auto" w:fill="FFFFFF"/>
            <w:tcMar>
              <w:top w:w="0" w:type="dxa"/>
              <w:left w:w="0" w:type="dxa"/>
              <w:bottom w:w="0" w:type="dxa"/>
              <w:right w:w="0" w:type="dxa"/>
            </w:tcMar>
            <w:vAlign w:val="bottom"/>
          </w:tcPr>
          <w:p w14:paraId="00221693" w14:textId="77777777" w:rsidR="002E0961" w:rsidRDefault="002E0961">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6C8BFC6" w14:textId="77777777" w:rsidR="002E0961" w:rsidRDefault="002E0961">
            <w:pPr>
              <w:keepNext/>
            </w:pPr>
          </w:p>
        </w:tc>
        <w:tc>
          <w:tcPr>
            <w:tcW w:w="1650" w:type="dxa"/>
            <w:gridSpan w:val="3"/>
            <w:tcBorders>
              <w:top w:val="nil"/>
              <w:left w:val="nil"/>
              <w:bottom w:val="nil"/>
              <w:right w:val="nil"/>
            </w:tcBorders>
            <w:shd w:val="clear" w:color="auto" w:fill="FFFFFF"/>
            <w:tcMar>
              <w:top w:w="0" w:type="dxa"/>
              <w:left w:w="0" w:type="dxa"/>
              <w:bottom w:w="0" w:type="dxa"/>
              <w:right w:w="0" w:type="dxa"/>
            </w:tcMar>
            <w:vAlign w:val="bottom"/>
          </w:tcPr>
          <w:p w14:paraId="4E71D583" w14:textId="77777777" w:rsidR="002E0961" w:rsidRDefault="002E0961">
            <w:pPr>
              <w:keepNext/>
            </w:pPr>
          </w:p>
        </w:tc>
      </w:tr>
      <w:tr w:rsidR="002E0961" w14:paraId="4DE378B6" w14:textId="77777777">
        <w:trPr>
          <w:cantSplit/>
          <w:trHeight w:hRule="exact" w:val="315"/>
          <w:jc w:val="center"/>
        </w:trPr>
        <w:tc>
          <w:tcPr>
            <w:tcW w:w="6525" w:type="dxa"/>
            <w:tcBorders>
              <w:top w:val="nil"/>
              <w:left w:val="nil"/>
              <w:bottom w:val="nil"/>
              <w:right w:val="nil"/>
            </w:tcBorders>
            <w:shd w:val="clear" w:color="auto" w:fill="CCEEFF"/>
            <w:tcMar>
              <w:top w:w="0" w:type="dxa"/>
              <w:left w:w="53" w:type="dxa"/>
              <w:bottom w:w="0" w:type="dxa"/>
              <w:right w:w="53" w:type="dxa"/>
            </w:tcMar>
            <w:vAlign w:val="bottom"/>
          </w:tcPr>
          <w:p w14:paraId="579059D1" w14:textId="77777777" w:rsidR="002E0961" w:rsidRDefault="00BD0E60">
            <w:pPr>
              <w:keepNext/>
              <w:spacing w:before="75" w:after="30" w:line="200" w:lineRule="auto"/>
            </w:pPr>
            <w:r>
              <w:rPr>
                <w:color w:val="000000"/>
                <w:sz w:val="20"/>
              </w:rPr>
              <w:t>Change in deferred revenue and other unearned income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7D29658" w14:textId="77777777" w:rsidR="002E0961" w:rsidRDefault="002E0961">
            <w:pPr>
              <w:keepNext/>
            </w:pPr>
          </w:p>
        </w:tc>
        <w:tc>
          <w:tcPr>
            <w:tcW w:w="1595" w:type="dxa"/>
            <w:gridSpan w:val="2"/>
            <w:tcBorders>
              <w:top w:val="nil"/>
              <w:left w:val="nil"/>
              <w:bottom w:val="nil"/>
              <w:right w:val="nil"/>
            </w:tcBorders>
            <w:shd w:val="clear" w:color="auto" w:fill="CCEEFF"/>
            <w:tcMar>
              <w:top w:w="0" w:type="dxa"/>
              <w:left w:w="53" w:type="dxa"/>
              <w:bottom w:w="0" w:type="dxa"/>
              <w:right w:w="0" w:type="dxa"/>
            </w:tcMar>
            <w:vAlign w:val="bottom"/>
          </w:tcPr>
          <w:p w14:paraId="44DE9944" w14:textId="77777777" w:rsidR="002E0961" w:rsidRDefault="00BD0E60">
            <w:pPr>
              <w:keepNext/>
              <w:spacing w:before="75" w:after="30" w:line="200" w:lineRule="auto"/>
              <w:jc w:val="right"/>
            </w:pPr>
            <w:r>
              <w:rPr>
                <w:color w:val="000000"/>
                <w:sz w:val="20"/>
              </w:rPr>
              <w:t>11 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AAAA3BD"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F5861EC" w14:textId="77777777" w:rsidR="002E0961" w:rsidRDefault="002E0961">
            <w:pPr>
              <w:keepNext/>
            </w:pPr>
          </w:p>
        </w:tc>
        <w:tc>
          <w:tcPr>
            <w:tcW w:w="1550" w:type="dxa"/>
            <w:gridSpan w:val="2"/>
            <w:tcBorders>
              <w:top w:val="nil"/>
              <w:left w:val="nil"/>
              <w:bottom w:val="nil"/>
              <w:right w:val="nil"/>
            </w:tcBorders>
            <w:shd w:val="clear" w:color="auto" w:fill="CCEEFF"/>
            <w:tcMar>
              <w:top w:w="0" w:type="dxa"/>
              <w:left w:w="53" w:type="dxa"/>
              <w:bottom w:w="0" w:type="dxa"/>
              <w:right w:w="0" w:type="dxa"/>
            </w:tcMar>
            <w:vAlign w:val="bottom"/>
          </w:tcPr>
          <w:p w14:paraId="2CB199E4" w14:textId="77777777" w:rsidR="002E0961" w:rsidRDefault="00BD0E60">
            <w:pPr>
              <w:keepNext/>
              <w:spacing w:before="75" w:after="30" w:line="200" w:lineRule="auto"/>
              <w:jc w:val="right"/>
            </w:pPr>
            <w:r>
              <w:rPr>
                <w:color w:val="000000"/>
                <w:sz w:val="20"/>
              </w:rPr>
              <w:t>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4697CBF" w14:textId="77777777" w:rsidR="002E0961" w:rsidRDefault="002E0961">
            <w:pPr>
              <w:keepNext/>
              <w:spacing w:before="75" w:after="30" w:line="200" w:lineRule="auto"/>
            </w:pPr>
          </w:p>
        </w:tc>
      </w:tr>
      <w:tr w:rsidR="002E0961" w14:paraId="551A95AA" w14:textId="77777777">
        <w:trPr>
          <w:cantSplit/>
          <w:trHeight w:hRule="exact" w:val="300"/>
          <w:jc w:val="center"/>
        </w:trPr>
        <w:tc>
          <w:tcPr>
            <w:tcW w:w="6525" w:type="dxa"/>
            <w:tcBorders>
              <w:top w:val="nil"/>
              <w:left w:val="nil"/>
              <w:bottom w:val="nil"/>
              <w:right w:val="nil"/>
            </w:tcBorders>
            <w:shd w:val="clear" w:color="auto" w:fill="FFFFFF"/>
            <w:tcMar>
              <w:top w:w="0" w:type="dxa"/>
              <w:left w:w="53" w:type="dxa"/>
              <w:bottom w:w="0" w:type="dxa"/>
              <w:right w:w="53" w:type="dxa"/>
            </w:tcMar>
            <w:vAlign w:val="bottom"/>
          </w:tcPr>
          <w:p w14:paraId="2A9AC957" w14:textId="77777777" w:rsidR="002E0961" w:rsidRDefault="00BD0E60">
            <w:pPr>
              <w:keepNext/>
              <w:spacing w:before="75" w:after="30" w:line="200" w:lineRule="auto"/>
            </w:pPr>
            <w:r>
              <w:rPr>
                <w:color w:val="000000"/>
                <w:sz w:val="20"/>
              </w:rPr>
              <w:t>Change in other assets and liabilities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F2AE5AD" w14:textId="77777777" w:rsidR="002E0961" w:rsidRDefault="002E0961">
            <w:pPr>
              <w:keepNext/>
            </w:pPr>
          </w:p>
        </w:tc>
        <w:tc>
          <w:tcPr>
            <w:tcW w:w="159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7BB9D3DE" w14:textId="77777777" w:rsidR="002E0961" w:rsidRDefault="00BD0E60">
            <w:pPr>
              <w:keepNext/>
              <w:spacing w:before="75" w:after="30" w:line="200" w:lineRule="auto"/>
              <w:jc w:val="right"/>
            </w:pPr>
            <w:r>
              <w:rPr>
                <w:color w:val="000000"/>
                <w:sz w:val="20"/>
              </w:rPr>
              <w:t>(12)</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301EA6E"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B8B3E54" w14:textId="77777777" w:rsidR="002E0961" w:rsidRDefault="002E0961">
            <w:pPr>
              <w:keepNext/>
            </w:pPr>
          </w:p>
        </w:tc>
        <w:tc>
          <w:tcPr>
            <w:tcW w:w="1550"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47E2D11D" w14:textId="77777777" w:rsidR="002E0961" w:rsidRDefault="00BD0E60">
            <w:pPr>
              <w:keepNext/>
              <w:spacing w:before="75" w:after="30" w:line="200" w:lineRule="auto"/>
              <w:jc w:val="right"/>
            </w:pPr>
            <w:r>
              <w:rPr>
                <w:color w:val="000000"/>
                <w:sz w:val="20"/>
              </w:rPr>
              <w:t>25 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37D3301" w14:textId="77777777" w:rsidR="002E0961" w:rsidRDefault="002E0961">
            <w:pPr>
              <w:keepNext/>
              <w:spacing w:before="75" w:after="30" w:line="200" w:lineRule="auto"/>
            </w:pPr>
          </w:p>
        </w:tc>
      </w:tr>
      <w:tr w:rsidR="002E0961" w14:paraId="11B770ED" w14:textId="77777777">
        <w:trPr>
          <w:cantSplit/>
          <w:trHeight w:hRule="exact" w:val="300"/>
          <w:jc w:val="center"/>
        </w:trPr>
        <w:tc>
          <w:tcPr>
            <w:tcW w:w="6525" w:type="dxa"/>
            <w:tcBorders>
              <w:top w:val="nil"/>
              <w:left w:val="nil"/>
              <w:bottom w:val="nil"/>
              <w:right w:val="nil"/>
            </w:tcBorders>
            <w:shd w:val="clear" w:color="auto" w:fill="CCEEFF"/>
            <w:tcMar>
              <w:top w:w="0" w:type="dxa"/>
              <w:left w:w="53" w:type="dxa"/>
              <w:bottom w:w="0" w:type="dxa"/>
              <w:right w:w="53" w:type="dxa"/>
            </w:tcMar>
            <w:vAlign w:val="bottom"/>
          </w:tcPr>
          <w:p w14:paraId="77EC6E99" w14:textId="77777777" w:rsidR="002E0961" w:rsidRDefault="00BD0E60">
            <w:pPr>
              <w:keepNext/>
              <w:spacing w:before="75" w:after="30" w:line="200" w:lineRule="auto"/>
            </w:pPr>
            <w:r>
              <w:rPr>
                <w:color w:val="000000"/>
                <w:sz w:val="20"/>
              </w:rPr>
              <w:t>Adjusted EBITDA</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45BED9A" w14:textId="77777777" w:rsidR="002E0961" w:rsidRDefault="002E0961">
            <w:pPr>
              <w:keepNext/>
            </w:pPr>
          </w:p>
        </w:tc>
        <w:tc>
          <w:tcPr>
            <w:tcW w:w="159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15B6F6E7" w14:textId="77777777" w:rsidR="002E0961" w:rsidRDefault="00BD0E60">
            <w:pPr>
              <w:keepNext/>
              <w:spacing w:before="55" w:after="30" w:line="200" w:lineRule="auto"/>
              <w:jc w:val="right"/>
            </w:pPr>
            <w:r>
              <w:rPr>
                <w:color w:val="000000"/>
                <w:sz w:val="20"/>
              </w:rPr>
              <w:t>194 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72ABA1C" w14:textId="77777777" w:rsidR="002E0961" w:rsidRDefault="002E0961">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D3294DF" w14:textId="77777777" w:rsidR="002E0961" w:rsidRDefault="002E0961">
            <w:pPr>
              <w:keepNext/>
            </w:pPr>
          </w:p>
        </w:tc>
        <w:tc>
          <w:tcPr>
            <w:tcW w:w="1550"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0885FA8B" w14:textId="77777777" w:rsidR="002E0961" w:rsidRDefault="00BD0E60">
            <w:pPr>
              <w:keepNext/>
              <w:spacing w:before="55" w:after="30" w:line="200" w:lineRule="auto"/>
              <w:jc w:val="right"/>
            </w:pPr>
            <w:r>
              <w:rPr>
                <w:color w:val="000000"/>
                <w:sz w:val="20"/>
              </w:rPr>
              <w:t>195 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6E95D92" w14:textId="77777777" w:rsidR="002E0961" w:rsidRDefault="002E0961">
            <w:pPr>
              <w:keepNext/>
              <w:spacing w:before="55" w:after="30" w:line="200" w:lineRule="auto"/>
            </w:pPr>
          </w:p>
        </w:tc>
      </w:tr>
      <w:tr w:rsidR="002E0961" w14:paraId="2E48D224" w14:textId="77777777">
        <w:trPr>
          <w:cantSplit/>
          <w:trHeight w:hRule="exact" w:val="300"/>
          <w:jc w:val="center"/>
        </w:trPr>
        <w:tc>
          <w:tcPr>
            <w:tcW w:w="6525" w:type="dxa"/>
            <w:tcBorders>
              <w:top w:val="nil"/>
              <w:left w:val="nil"/>
              <w:bottom w:val="nil"/>
              <w:right w:val="nil"/>
            </w:tcBorders>
            <w:shd w:val="clear" w:color="auto" w:fill="FFFFFF"/>
            <w:tcMar>
              <w:top w:w="0" w:type="dxa"/>
              <w:left w:w="53" w:type="dxa"/>
              <w:bottom w:w="0" w:type="dxa"/>
              <w:right w:w="53" w:type="dxa"/>
            </w:tcMar>
            <w:vAlign w:val="bottom"/>
          </w:tcPr>
          <w:p w14:paraId="4573E121" w14:textId="77777777" w:rsidR="002E0961" w:rsidRDefault="00BD0E60">
            <w:pPr>
              <w:keepNext/>
              <w:spacing w:before="75" w:after="30" w:line="200" w:lineRule="auto"/>
            </w:pPr>
            <w:r>
              <w:rPr>
                <w:color w:val="000000"/>
                <w:sz w:val="20"/>
              </w:rPr>
              <w:t>Less: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9908F33" w14:textId="77777777" w:rsidR="002E0961" w:rsidRDefault="002E0961">
            <w:pPr>
              <w:keepNext/>
            </w:pPr>
          </w:p>
        </w:tc>
        <w:tc>
          <w:tcPr>
            <w:tcW w:w="1695" w:type="dxa"/>
            <w:gridSpan w:val="3"/>
            <w:tcBorders>
              <w:top w:val="nil"/>
              <w:left w:val="nil"/>
              <w:bottom w:val="nil"/>
              <w:right w:val="nil"/>
            </w:tcBorders>
            <w:shd w:val="clear" w:color="auto" w:fill="FFFFFF"/>
            <w:tcMar>
              <w:top w:w="0" w:type="dxa"/>
              <w:left w:w="0" w:type="dxa"/>
              <w:bottom w:w="0" w:type="dxa"/>
              <w:right w:w="0" w:type="dxa"/>
            </w:tcMar>
            <w:vAlign w:val="bottom"/>
          </w:tcPr>
          <w:p w14:paraId="09D253B3" w14:textId="77777777" w:rsidR="002E0961" w:rsidRDefault="002E0961">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4E1A808" w14:textId="77777777" w:rsidR="002E0961" w:rsidRDefault="002E0961">
            <w:pPr>
              <w:keepNext/>
            </w:pPr>
          </w:p>
        </w:tc>
        <w:tc>
          <w:tcPr>
            <w:tcW w:w="1650" w:type="dxa"/>
            <w:gridSpan w:val="3"/>
            <w:tcBorders>
              <w:top w:val="nil"/>
              <w:left w:val="nil"/>
              <w:bottom w:val="nil"/>
              <w:right w:val="nil"/>
            </w:tcBorders>
            <w:shd w:val="clear" w:color="auto" w:fill="FFFFFF"/>
            <w:tcMar>
              <w:top w:w="0" w:type="dxa"/>
              <w:left w:w="0" w:type="dxa"/>
              <w:bottom w:w="0" w:type="dxa"/>
              <w:right w:w="0" w:type="dxa"/>
            </w:tcMar>
            <w:vAlign w:val="bottom"/>
          </w:tcPr>
          <w:p w14:paraId="3FF828FA" w14:textId="77777777" w:rsidR="002E0961" w:rsidRDefault="002E0961">
            <w:pPr>
              <w:keepNext/>
            </w:pPr>
          </w:p>
        </w:tc>
      </w:tr>
      <w:tr w:rsidR="002E0961" w14:paraId="09795DAC" w14:textId="77777777">
        <w:trPr>
          <w:cantSplit/>
          <w:trHeight w:hRule="exact" w:val="315"/>
          <w:jc w:val="center"/>
        </w:trPr>
        <w:tc>
          <w:tcPr>
            <w:tcW w:w="6525" w:type="dxa"/>
            <w:tcBorders>
              <w:top w:val="nil"/>
              <w:left w:val="nil"/>
              <w:bottom w:val="nil"/>
              <w:right w:val="nil"/>
            </w:tcBorders>
            <w:shd w:val="clear" w:color="auto" w:fill="CCEEFF"/>
            <w:tcMar>
              <w:top w:w="0" w:type="dxa"/>
              <w:left w:w="53" w:type="dxa"/>
              <w:bottom w:w="0" w:type="dxa"/>
              <w:right w:w="53" w:type="dxa"/>
            </w:tcMar>
            <w:vAlign w:val="bottom"/>
          </w:tcPr>
          <w:p w14:paraId="3AB28852" w14:textId="77777777" w:rsidR="002E0961" w:rsidRDefault="00BD0E60">
            <w:pPr>
              <w:keepNext/>
              <w:spacing w:before="75" w:after="30" w:line="200" w:lineRule="auto"/>
            </w:pPr>
            <w:r>
              <w:rPr>
                <w:color w:val="000000"/>
                <w:sz w:val="20"/>
              </w:rPr>
              <w:t>Adjusted EBITDA attributable to noncontrolling interests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E247213" w14:textId="77777777" w:rsidR="002E0961" w:rsidRDefault="002E0961">
            <w:pPr>
              <w:keepNext/>
            </w:pPr>
          </w:p>
        </w:tc>
        <w:tc>
          <w:tcPr>
            <w:tcW w:w="159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07393D44" w14:textId="77777777" w:rsidR="002E0961" w:rsidRDefault="00BD0E60">
            <w:pPr>
              <w:keepNext/>
              <w:spacing w:before="75" w:after="30" w:line="200" w:lineRule="auto"/>
              <w:jc w:val="right"/>
            </w:pPr>
            <w:r>
              <w:rPr>
                <w:color w:val="000000"/>
                <w:sz w:val="20"/>
              </w:rPr>
              <w:t>3 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9EFFEA5"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708C879" w14:textId="77777777" w:rsidR="002E0961" w:rsidRDefault="002E0961">
            <w:pPr>
              <w:keepNext/>
            </w:pPr>
          </w:p>
        </w:tc>
        <w:tc>
          <w:tcPr>
            <w:tcW w:w="155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36FF9D34" w14:textId="77777777" w:rsidR="002E0961" w:rsidRDefault="00BD0E60">
            <w:pPr>
              <w:keepNext/>
              <w:spacing w:before="75" w:after="30" w:line="200" w:lineRule="auto"/>
              <w:jc w:val="right"/>
            </w:pPr>
            <w:r>
              <w:rPr>
                <w:color w:val="000000"/>
                <w:sz w:val="20"/>
              </w:rPr>
              <w:t>3 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73EA62A" w14:textId="77777777" w:rsidR="002E0961" w:rsidRDefault="002E0961">
            <w:pPr>
              <w:keepNext/>
              <w:spacing w:before="75" w:after="30" w:line="200" w:lineRule="auto"/>
            </w:pPr>
          </w:p>
        </w:tc>
      </w:tr>
      <w:tr w:rsidR="002E0961" w14:paraId="2F71851E" w14:textId="77777777">
        <w:trPr>
          <w:cantSplit/>
          <w:trHeight w:hRule="exact" w:val="300"/>
          <w:jc w:val="center"/>
        </w:trPr>
        <w:tc>
          <w:tcPr>
            <w:tcW w:w="6525" w:type="dxa"/>
            <w:tcBorders>
              <w:top w:val="nil"/>
              <w:left w:val="nil"/>
              <w:bottom w:val="nil"/>
              <w:right w:val="nil"/>
            </w:tcBorders>
            <w:shd w:val="clear" w:color="auto" w:fill="FFFFFF"/>
            <w:tcMar>
              <w:top w:w="0" w:type="dxa"/>
              <w:left w:w="53" w:type="dxa"/>
              <w:bottom w:w="0" w:type="dxa"/>
              <w:right w:w="53" w:type="dxa"/>
            </w:tcMar>
            <w:vAlign w:val="bottom"/>
          </w:tcPr>
          <w:p w14:paraId="100B3CBF" w14:textId="77777777" w:rsidR="002E0961" w:rsidRDefault="00BD0E60">
            <w:pPr>
              <w:keepNext/>
              <w:spacing w:before="75" w:after="30" w:line="200" w:lineRule="auto"/>
            </w:pPr>
            <w:r>
              <w:rPr>
                <w:color w:val="000000"/>
                <w:sz w:val="20"/>
              </w:rPr>
              <w:t>Adjusted EBITDA attributable to the Partnership</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A2613C7" w14:textId="77777777" w:rsidR="002E0961" w:rsidRDefault="002E0961">
            <w:pPr>
              <w:keepNext/>
            </w:pPr>
          </w:p>
        </w:tc>
        <w:tc>
          <w:tcPr>
            <w:tcW w:w="159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41D16919" w14:textId="77777777" w:rsidR="002E0961" w:rsidRDefault="00BD0E60">
            <w:pPr>
              <w:keepNext/>
              <w:spacing w:before="55" w:after="30" w:line="200" w:lineRule="auto"/>
              <w:jc w:val="right"/>
            </w:pPr>
            <w:r>
              <w:rPr>
                <w:color w:val="000000"/>
                <w:sz w:val="20"/>
              </w:rPr>
              <w:t>191 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9B9B994" w14:textId="77777777" w:rsidR="002E0961" w:rsidRDefault="002E0961">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5111FE9" w14:textId="77777777" w:rsidR="002E0961" w:rsidRDefault="002E0961">
            <w:pPr>
              <w:keepNext/>
            </w:pPr>
          </w:p>
        </w:tc>
        <w:tc>
          <w:tcPr>
            <w:tcW w:w="155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7D01E982" w14:textId="77777777" w:rsidR="002E0961" w:rsidRDefault="00BD0E60">
            <w:pPr>
              <w:keepNext/>
              <w:spacing w:before="55" w:after="30" w:line="200" w:lineRule="auto"/>
              <w:jc w:val="right"/>
            </w:pPr>
            <w:r>
              <w:rPr>
                <w:color w:val="000000"/>
                <w:sz w:val="20"/>
              </w:rPr>
              <w:t>192 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D682573" w14:textId="77777777" w:rsidR="002E0961" w:rsidRDefault="002E0961">
            <w:pPr>
              <w:keepNext/>
              <w:spacing w:before="55" w:after="30" w:line="200" w:lineRule="auto"/>
            </w:pPr>
          </w:p>
        </w:tc>
      </w:tr>
      <w:tr w:rsidR="002E0961" w14:paraId="45C08ABC" w14:textId="77777777">
        <w:trPr>
          <w:cantSplit/>
          <w:trHeight w:hRule="exact" w:val="300"/>
          <w:jc w:val="center"/>
        </w:trPr>
        <w:tc>
          <w:tcPr>
            <w:tcW w:w="6525" w:type="dxa"/>
            <w:tcBorders>
              <w:top w:val="nil"/>
              <w:left w:val="nil"/>
              <w:bottom w:val="nil"/>
              <w:right w:val="nil"/>
            </w:tcBorders>
            <w:shd w:val="clear" w:color="auto" w:fill="CCEEFF"/>
            <w:tcMar>
              <w:top w:w="0" w:type="dxa"/>
              <w:left w:w="53" w:type="dxa"/>
              <w:bottom w:w="0" w:type="dxa"/>
              <w:right w:w="53" w:type="dxa"/>
            </w:tcMar>
            <w:vAlign w:val="bottom"/>
          </w:tcPr>
          <w:p w14:paraId="310CAFA8" w14:textId="77777777" w:rsidR="002E0961" w:rsidRDefault="00BD0E60">
            <w:pPr>
              <w:keepNext/>
              <w:spacing w:before="75" w:after="30" w:line="200" w:lineRule="auto"/>
            </w:pPr>
            <w:r>
              <w:rPr>
                <w:color w:val="000000"/>
                <w:sz w:val="20"/>
              </w:rPr>
              <w:t>Less: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EBB9F1D" w14:textId="77777777" w:rsidR="002E0961" w:rsidRDefault="002E0961">
            <w:pPr>
              <w:keepNext/>
            </w:pPr>
          </w:p>
        </w:tc>
        <w:tc>
          <w:tcPr>
            <w:tcW w:w="1695" w:type="dxa"/>
            <w:gridSpan w:val="3"/>
            <w:tcBorders>
              <w:top w:val="nil"/>
              <w:left w:val="nil"/>
              <w:bottom w:val="nil"/>
              <w:right w:val="nil"/>
            </w:tcBorders>
            <w:shd w:val="clear" w:color="auto" w:fill="CCEEFF"/>
            <w:tcMar>
              <w:top w:w="0" w:type="dxa"/>
              <w:left w:w="0" w:type="dxa"/>
              <w:bottom w:w="0" w:type="dxa"/>
              <w:right w:w="0" w:type="dxa"/>
            </w:tcMar>
            <w:vAlign w:val="bottom"/>
          </w:tcPr>
          <w:p w14:paraId="0ED408A2" w14:textId="77777777" w:rsidR="002E0961" w:rsidRDefault="002E0961">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75BF44F" w14:textId="77777777" w:rsidR="002E0961" w:rsidRDefault="002E0961">
            <w:pPr>
              <w:keepNext/>
            </w:pPr>
          </w:p>
        </w:tc>
        <w:tc>
          <w:tcPr>
            <w:tcW w:w="1650" w:type="dxa"/>
            <w:gridSpan w:val="3"/>
            <w:tcBorders>
              <w:top w:val="nil"/>
              <w:left w:val="nil"/>
              <w:bottom w:val="nil"/>
              <w:right w:val="nil"/>
            </w:tcBorders>
            <w:shd w:val="clear" w:color="auto" w:fill="CCEEFF"/>
            <w:tcMar>
              <w:top w:w="0" w:type="dxa"/>
              <w:left w:w="0" w:type="dxa"/>
              <w:bottom w:w="0" w:type="dxa"/>
              <w:right w:w="0" w:type="dxa"/>
            </w:tcMar>
            <w:vAlign w:val="bottom"/>
          </w:tcPr>
          <w:p w14:paraId="1DB86327" w14:textId="77777777" w:rsidR="002E0961" w:rsidRDefault="002E0961">
            <w:pPr>
              <w:keepNext/>
            </w:pPr>
          </w:p>
        </w:tc>
      </w:tr>
      <w:tr w:rsidR="002E0961" w14:paraId="4472EC24" w14:textId="77777777">
        <w:trPr>
          <w:cantSplit/>
          <w:trHeight w:hRule="exact" w:val="300"/>
          <w:jc w:val="center"/>
        </w:trPr>
        <w:tc>
          <w:tcPr>
            <w:tcW w:w="6525" w:type="dxa"/>
            <w:tcBorders>
              <w:top w:val="nil"/>
              <w:left w:val="nil"/>
              <w:bottom w:val="nil"/>
              <w:right w:val="nil"/>
            </w:tcBorders>
            <w:shd w:val="clear" w:color="auto" w:fill="FFFFFF"/>
            <w:tcMar>
              <w:top w:w="0" w:type="dxa"/>
              <w:left w:w="53" w:type="dxa"/>
              <w:bottom w:w="0" w:type="dxa"/>
              <w:right w:w="53" w:type="dxa"/>
            </w:tcMar>
            <w:vAlign w:val="bottom"/>
          </w:tcPr>
          <w:p w14:paraId="069737A6" w14:textId="77777777" w:rsidR="002E0961" w:rsidRDefault="00BD0E60">
            <w:pPr>
              <w:keepNext/>
              <w:spacing w:before="75" w:after="30" w:line="200" w:lineRule="auto"/>
            </w:pPr>
            <w:r>
              <w:rPr>
                <w:color w:val="000000"/>
                <w:sz w:val="20"/>
              </w:rPr>
              <w:t>Series A Preferred Units distribution</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23E9D9D" w14:textId="77777777" w:rsidR="002E0961" w:rsidRDefault="002E0961">
            <w:pPr>
              <w:keepNext/>
            </w:pPr>
          </w:p>
        </w:tc>
        <w:tc>
          <w:tcPr>
            <w:tcW w:w="1595" w:type="dxa"/>
            <w:gridSpan w:val="2"/>
            <w:tcBorders>
              <w:top w:val="nil"/>
              <w:left w:val="nil"/>
              <w:bottom w:val="nil"/>
              <w:right w:val="nil"/>
            </w:tcBorders>
            <w:shd w:val="clear" w:color="auto" w:fill="FFFFFF"/>
            <w:tcMar>
              <w:top w:w="0" w:type="dxa"/>
              <w:left w:w="53" w:type="dxa"/>
              <w:bottom w:w="0" w:type="dxa"/>
              <w:right w:w="0" w:type="dxa"/>
            </w:tcMar>
            <w:vAlign w:val="bottom"/>
          </w:tcPr>
          <w:p w14:paraId="673186B8" w14:textId="77777777" w:rsidR="002E0961" w:rsidRDefault="00BD0E60">
            <w:pPr>
              <w:keepNext/>
              <w:spacing w:before="75" w:after="30" w:line="200" w:lineRule="auto"/>
              <w:jc w:val="right"/>
            </w:pPr>
            <w:r>
              <w:rPr>
                <w:color w:val="000000"/>
                <w:sz w:val="20"/>
              </w:rPr>
              <w:t>12 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20A3641"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CD04DA8" w14:textId="77777777" w:rsidR="002E0961" w:rsidRDefault="002E0961">
            <w:pPr>
              <w:keepNext/>
            </w:pPr>
          </w:p>
        </w:tc>
        <w:tc>
          <w:tcPr>
            <w:tcW w:w="1550" w:type="dxa"/>
            <w:gridSpan w:val="2"/>
            <w:tcBorders>
              <w:top w:val="nil"/>
              <w:left w:val="nil"/>
              <w:bottom w:val="nil"/>
              <w:right w:val="nil"/>
            </w:tcBorders>
            <w:shd w:val="clear" w:color="auto" w:fill="FFFFFF"/>
            <w:tcMar>
              <w:top w:w="0" w:type="dxa"/>
              <w:left w:w="53" w:type="dxa"/>
              <w:bottom w:w="0" w:type="dxa"/>
              <w:right w:w="0" w:type="dxa"/>
            </w:tcMar>
            <w:vAlign w:val="bottom"/>
          </w:tcPr>
          <w:p w14:paraId="2E3FEB31" w14:textId="77777777" w:rsidR="002E0961" w:rsidRDefault="00BD0E60">
            <w:pPr>
              <w:keepNext/>
              <w:spacing w:before="75" w:after="30" w:line="200" w:lineRule="auto"/>
              <w:jc w:val="right"/>
            </w:pPr>
            <w:r>
              <w:rPr>
                <w:color w:val="000000"/>
                <w:sz w:val="20"/>
              </w:rPr>
              <w:t>12 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52E8360" w14:textId="77777777" w:rsidR="002E0961" w:rsidRDefault="002E0961">
            <w:pPr>
              <w:keepNext/>
              <w:spacing w:before="75" w:after="30" w:line="200" w:lineRule="auto"/>
            </w:pPr>
          </w:p>
        </w:tc>
      </w:tr>
      <w:tr w:rsidR="002E0961" w14:paraId="26CFF49C" w14:textId="77777777">
        <w:trPr>
          <w:cantSplit/>
          <w:trHeight w:hRule="exact" w:val="300"/>
          <w:jc w:val="center"/>
        </w:trPr>
        <w:tc>
          <w:tcPr>
            <w:tcW w:w="6525" w:type="dxa"/>
            <w:tcBorders>
              <w:top w:val="nil"/>
              <w:left w:val="nil"/>
              <w:bottom w:val="nil"/>
              <w:right w:val="nil"/>
            </w:tcBorders>
            <w:shd w:val="clear" w:color="auto" w:fill="CCEEFF"/>
            <w:tcMar>
              <w:top w:w="0" w:type="dxa"/>
              <w:left w:w="53" w:type="dxa"/>
              <w:bottom w:w="0" w:type="dxa"/>
              <w:right w:w="53" w:type="dxa"/>
            </w:tcMar>
            <w:vAlign w:val="bottom"/>
          </w:tcPr>
          <w:p w14:paraId="07D9FAFF" w14:textId="77777777" w:rsidR="002E0961" w:rsidRDefault="00BD0E60">
            <w:pPr>
              <w:keepNext/>
              <w:spacing w:before="75" w:after="30" w:line="209" w:lineRule="auto"/>
              <w:rPr>
                <w:sz w:val="20"/>
              </w:rPr>
            </w:pPr>
            <w:r>
              <w:rPr>
                <w:sz w:val="20"/>
              </w:rPr>
              <w:t xml:space="preserve">Net interest paid by the Partnership </w:t>
            </w:r>
            <w:r>
              <w:rPr>
                <w:sz w:val="20"/>
                <w:vertAlign w:val="superscript"/>
              </w:rPr>
              <w:t>(1)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07EBAEA" w14:textId="77777777" w:rsidR="002E0961" w:rsidRDefault="002E0961">
            <w:pPr>
              <w:keepNext/>
            </w:pPr>
          </w:p>
        </w:tc>
        <w:tc>
          <w:tcPr>
            <w:tcW w:w="1595" w:type="dxa"/>
            <w:gridSpan w:val="2"/>
            <w:tcBorders>
              <w:top w:val="nil"/>
              <w:left w:val="nil"/>
              <w:bottom w:val="nil"/>
              <w:right w:val="nil"/>
            </w:tcBorders>
            <w:shd w:val="clear" w:color="auto" w:fill="CCEEFF"/>
            <w:tcMar>
              <w:top w:w="0" w:type="dxa"/>
              <w:left w:w="53" w:type="dxa"/>
              <w:bottom w:w="0" w:type="dxa"/>
              <w:right w:w="0" w:type="dxa"/>
            </w:tcMar>
            <w:vAlign w:val="bottom"/>
          </w:tcPr>
          <w:p w14:paraId="28D57847" w14:textId="77777777" w:rsidR="002E0961" w:rsidRDefault="00BD0E60">
            <w:pPr>
              <w:keepNext/>
              <w:spacing w:before="75" w:after="30" w:line="200" w:lineRule="auto"/>
              <w:jc w:val="right"/>
            </w:pPr>
            <w:r>
              <w:rPr>
                <w:color w:val="000000"/>
                <w:sz w:val="20"/>
              </w:rPr>
              <w:t>22 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0740A65"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EBF8CED" w14:textId="77777777" w:rsidR="002E0961" w:rsidRDefault="002E0961">
            <w:pPr>
              <w:keepNext/>
            </w:pPr>
          </w:p>
        </w:tc>
        <w:tc>
          <w:tcPr>
            <w:tcW w:w="1550" w:type="dxa"/>
            <w:gridSpan w:val="2"/>
            <w:tcBorders>
              <w:top w:val="nil"/>
              <w:left w:val="nil"/>
              <w:bottom w:val="nil"/>
              <w:right w:val="nil"/>
            </w:tcBorders>
            <w:shd w:val="clear" w:color="auto" w:fill="CCEEFF"/>
            <w:tcMar>
              <w:top w:w="0" w:type="dxa"/>
              <w:left w:w="53" w:type="dxa"/>
              <w:bottom w:w="0" w:type="dxa"/>
              <w:right w:w="0" w:type="dxa"/>
            </w:tcMar>
            <w:vAlign w:val="bottom"/>
          </w:tcPr>
          <w:p w14:paraId="358E1778" w14:textId="77777777" w:rsidR="002E0961" w:rsidRDefault="00BD0E60">
            <w:pPr>
              <w:keepNext/>
              <w:spacing w:before="75" w:after="30" w:line="200" w:lineRule="auto"/>
              <w:jc w:val="right"/>
            </w:pPr>
            <w:r>
              <w:rPr>
                <w:color w:val="000000"/>
                <w:sz w:val="20"/>
              </w:rPr>
              <w:t>25 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727395A" w14:textId="77777777" w:rsidR="002E0961" w:rsidRDefault="002E0961">
            <w:pPr>
              <w:keepNext/>
              <w:spacing w:before="75" w:after="30" w:line="200" w:lineRule="auto"/>
            </w:pPr>
          </w:p>
        </w:tc>
      </w:tr>
      <w:tr w:rsidR="002E0961" w14:paraId="5B33EF73" w14:textId="77777777">
        <w:trPr>
          <w:cantSplit/>
          <w:trHeight w:hRule="exact" w:val="300"/>
          <w:jc w:val="center"/>
        </w:trPr>
        <w:tc>
          <w:tcPr>
            <w:tcW w:w="6525" w:type="dxa"/>
            <w:tcBorders>
              <w:top w:val="nil"/>
              <w:left w:val="nil"/>
              <w:bottom w:val="nil"/>
              <w:right w:val="nil"/>
            </w:tcBorders>
            <w:shd w:val="clear" w:color="auto" w:fill="FFFFFF"/>
            <w:tcMar>
              <w:top w:w="0" w:type="dxa"/>
              <w:left w:w="53" w:type="dxa"/>
              <w:bottom w:w="0" w:type="dxa"/>
              <w:right w:w="53" w:type="dxa"/>
            </w:tcMar>
            <w:vAlign w:val="bottom"/>
          </w:tcPr>
          <w:p w14:paraId="12E7C005" w14:textId="77777777" w:rsidR="002E0961" w:rsidRDefault="00BD0E60">
            <w:pPr>
              <w:keepNext/>
              <w:spacing w:before="75" w:after="30" w:line="200" w:lineRule="auto"/>
            </w:pPr>
            <w:r>
              <w:rPr>
                <w:color w:val="000000"/>
                <w:sz w:val="20"/>
              </w:rPr>
              <w:t xml:space="preserve">Maintenance capex attributable to the Partnership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FBE2DE5" w14:textId="77777777" w:rsidR="002E0961" w:rsidRDefault="002E0961">
            <w:pPr>
              <w:keepNext/>
            </w:pPr>
          </w:p>
        </w:tc>
        <w:tc>
          <w:tcPr>
            <w:tcW w:w="1595" w:type="dxa"/>
            <w:gridSpan w:val="2"/>
            <w:tcBorders>
              <w:top w:val="nil"/>
              <w:left w:val="nil"/>
              <w:bottom w:val="nil"/>
              <w:right w:val="nil"/>
            </w:tcBorders>
            <w:shd w:val="clear" w:color="auto" w:fill="FFFFFF"/>
            <w:tcMar>
              <w:top w:w="0" w:type="dxa"/>
              <w:left w:w="53" w:type="dxa"/>
              <w:bottom w:w="0" w:type="dxa"/>
              <w:right w:w="0" w:type="dxa"/>
            </w:tcMar>
            <w:vAlign w:val="bottom"/>
          </w:tcPr>
          <w:p w14:paraId="1DF39F3B" w14:textId="77777777" w:rsidR="002E0961" w:rsidRDefault="00BD0E60">
            <w:pPr>
              <w:keepNext/>
              <w:spacing w:before="75" w:after="30" w:line="200" w:lineRule="auto"/>
              <w:jc w:val="right"/>
            </w:pPr>
            <w:r>
              <w:rPr>
                <w:color w:val="000000"/>
                <w:sz w:val="20"/>
              </w:rPr>
              <w:t>10 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63069A2"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A514578" w14:textId="77777777" w:rsidR="002E0961" w:rsidRDefault="002E0961">
            <w:pPr>
              <w:keepNext/>
            </w:pPr>
          </w:p>
        </w:tc>
        <w:tc>
          <w:tcPr>
            <w:tcW w:w="1550" w:type="dxa"/>
            <w:gridSpan w:val="2"/>
            <w:tcBorders>
              <w:top w:val="nil"/>
              <w:left w:val="nil"/>
              <w:bottom w:val="nil"/>
              <w:right w:val="nil"/>
            </w:tcBorders>
            <w:shd w:val="clear" w:color="auto" w:fill="FFFFFF"/>
            <w:tcMar>
              <w:top w:w="0" w:type="dxa"/>
              <w:left w:w="53" w:type="dxa"/>
              <w:bottom w:w="0" w:type="dxa"/>
              <w:right w:w="0" w:type="dxa"/>
            </w:tcMar>
            <w:vAlign w:val="bottom"/>
          </w:tcPr>
          <w:p w14:paraId="0AE2C95D" w14:textId="77777777" w:rsidR="002E0961" w:rsidRDefault="00BD0E60">
            <w:pPr>
              <w:keepNext/>
              <w:spacing w:before="75" w:after="30" w:line="200" w:lineRule="auto"/>
              <w:jc w:val="right"/>
            </w:pPr>
            <w:r>
              <w:rPr>
                <w:color w:val="000000"/>
                <w:sz w:val="20"/>
              </w:rPr>
              <w:t>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953B42D" w14:textId="77777777" w:rsidR="002E0961" w:rsidRDefault="002E0961">
            <w:pPr>
              <w:keepNext/>
              <w:spacing w:before="75" w:after="30" w:line="200" w:lineRule="auto"/>
            </w:pPr>
          </w:p>
        </w:tc>
      </w:tr>
      <w:tr w:rsidR="002E0961" w14:paraId="5D425EE0" w14:textId="77777777">
        <w:trPr>
          <w:cantSplit/>
          <w:trHeight w:hRule="exact" w:val="300"/>
          <w:jc w:val="center"/>
        </w:trPr>
        <w:tc>
          <w:tcPr>
            <w:tcW w:w="6525" w:type="dxa"/>
            <w:tcBorders>
              <w:top w:val="nil"/>
              <w:left w:val="nil"/>
              <w:bottom w:val="nil"/>
              <w:right w:val="nil"/>
            </w:tcBorders>
            <w:shd w:val="clear" w:color="auto" w:fill="CCEEFF"/>
            <w:tcMar>
              <w:top w:w="0" w:type="dxa"/>
              <w:left w:w="53" w:type="dxa"/>
              <w:bottom w:w="0" w:type="dxa"/>
              <w:right w:w="53" w:type="dxa"/>
            </w:tcMar>
            <w:vAlign w:val="bottom"/>
          </w:tcPr>
          <w:p w14:paraId="7275E518" w14:textId="77777777" w:rsidR="002E0961" w:rsidRDefault="00BD0E60">
            <w:pPr>
              <w:keepNext/>
              <w:spacing w:before="75" w:after="30" w:line="200" w:lineRule="auto"/>
            </w:pPr>
            <w:r>
              <w:rPr>
                <w:color w:val="000000"/>
                <w:sz w:val="20"/>
              </w:rPr>
              <w:t>Add:</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FE2AD26" w14:textId="77777777" w:rsidR="002E0961" w:rsidRDefault="002E0961">
            <w:pPr>
              <w:keepNext/>
            </w:pPr>
          </w:p>
        </w:tc>
        <w:tc>
          <w:tcPr>
            <w:tcW w:w="1695" w:type="dxa"/>
            <w:gridSpan w:val="3"/>
            <w:tcBorders>
              <w:top w:val="nil"/>
              <w:left w:val="nil"/>
              <w:bottom w:val="nil"/>
              <w:right w:val="nil"/>
            </w:tcBorders>
            <w:shd w:val="clear" w:color="auto" w:fill="CCEEFF"/>
            <w:tcMar>
              <w:top w:w="0" w:type="dxa"/>
              <w:left w:w="0" w:type="dxa"/>
              <w:bottom w:w="0" w:type="dxa"/>
              <w:right w:w="0" w:type="dxa"/>
            </w:tcMar>
            <w:vAlign w:val="bottom"/>
          </w:tcPr>
          <w:p w14:paraId="26196625" w14:textId="77777777" w:rsidR="002E0961" w:rsidRDefault="002E0961">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7705D07" w14:textId="77777777" w:rsidR="002E0961" w:rsidRDefault="002E0961">
            <w:pPr>
              <w:keepNext/>
            </w:pPr>
          </w:p>
        </w:tc>
        <w:tc>
          <w:tcPr>
            <w:tcW w:w="1650" w:type="dxa"/>
            <w:gridSpan w:val="3"/>
            <w:tcBorders>
              <w:top w:val="nil"/>
              <w:left w:val="nil"/>
              <w:bottom w:val="nil"/>
              <w:right w:val="nil"/>
            </w:tcBorders>
            <w:shd w:val="clear" w:color="auto" w:fill="CCEEFF"/>
            <w:tcMar>
              <w:top w:w="0" w:type="dxa"/>
              <w:left w:w="0" w:type="dxa"/>
              <w:bottom w:w="0" w:type="dxa"/>
              <w:right w:w="0" w:type="dxa"/>
            </w:tcMar>
            <w:vAlign w:val="bottom"/>
          </w:tcPr>
          <w:p w14:paraId="6CADA93C" w14:textId="77777777" w:rsidR="002E0961" w:rsidRDefault="002E0961">
            <w:pPr>
              <w:keepNext/>
            </w:pPr>
          </w:p>
        </w:tc>
      </w:tr>
      <w:tr w:rsidR="002E0961" w14:paraId="35A4126F" w14:textId="77777777">
        <w:trPr>
          <w:cantSplit/>
          <w:trHeight w:hRule="exact" w:val="510"/>
          <w:jc w:val="center"/>
        </w:trPr>
        <w:tc>
          <w:tcPr>
            <w:tcW w:w="6525" w:type="dxa"/>
            <w:tcBorders>
              <w:top w:val="nil"/>
              <w:left w:val="nil"/>
              <w:bottom w:val="nil"/>
              <w:right w:val="nil"/>
            </w:tcBorders>
            <w:shd w:val="clear" w:color="auto" w:fill="FFFFFF"/>
            <w:tcMar>
              <w:top w:w="0" w:type="dxa"/>
              <w:left w:w="53" w:type="dxa"/>
              <w:bottom w:w="0" w:type="dxa"/>
              <w:right w:w="53" w:type="dxa"/>
            </w:tcMar>
            <w:vAlign w:val="bottom"/>
          </w:tcPr>
          <w:p w14:paraId="563EAFC9" w14:textId="77777777" w:rsidR="002E0961" w:rsidRDefault="00BD0E60">
            <w:pPr>
              <w:keepNext/>
              <w:spacing w:before="75" w:after="30" w:line="200" w:lineRule="auto"/>
            </w:pPr>
            <w:r>
              <w:rPr>
                <w:color w:val="000000"/>
                <w:sz w:val="20"/>
              </w:rPr>
              <w:t>Net adjustments from volume deficiency payments attributable to the Partnership</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DEA87E3" w14:textId="77777777" w:rsidR="002E0961" w:rsidRDefault="002E0961">
            <w:pPr>
              <w:keepNext/>
            </w:pPr>
          </w:p>
        </w:tc>
        <w:tc>
          <w:tcPr>
            <w:tcW w:w="1595" w:type="dxa"/>
            <w:gridSpan w:val="2"/>
            <w:tcBorders>
              <w:top w:val="nil"/>
              <w:left w:val="nil"/>
              <w:bottom w:val="nil"/>
              <w:right w:val="nil"/>
            </w:tcBorders>
            <w:shd w:val="clear" w:color="auto" w:fill="FFFFFF"/>
            <w:tcMar>
              <w:top w:w="0" w:type="dxa"/>
              <w:left w:w="53" w:type="dxa"/>
              <w:bottom w:w="0" w:type="dxa"/>
              <w:right w:w="0" w:type="dxa"/>
            </w:tcMar>
            <w:vAlign w:val="bottom"/>
          </w:tcPr>
          <w:p w14:paraId="696BEF72" w14:textId="77777777" w:rsidR="002E0961" w:rsidRDefault="00BD0E60">
            <w:pPr>
              <w:keepNext/>
              <w:spacing w:before="75" w:after="30" w:line="200" w:lineRule="auto"/>
              <w:jc w:val="right"/>
            </w:pPr>
            <w:r>
              <w:rPr>
                <w:color w:val="000000"/>
                <w:sz w:val="20"/>
              </w:rPr>
              <w:t>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CCDDC67"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08D3C27" w14:textId="77777777" w:rsidR="002E0961" w:rsidRDefault="002E0961">
            <w:pPr>
              <w:keepNext/>
            </w:pPr>
          </w:p>
        </w:tc>
        <w:tc>
          <w:tcPr>
            <w:tcW w:w="1550" w:type="dxa"/>
            <w:gridSpan w:val="2"/>
            <w:tcBorders>
              <w:top w:val="nil"/>
              <w:left w:val="nil"/>
              <w:bottom w:val="nil"/>
              <w:right w:val="nil"/>
            </w:tcBorders>
            <w:shd w:val="clear" w:color="auto" w:fill="FFFFFF"/>
            <w:tcMar>
              <w:top w:w="0" w:type="dxa"/>
              <w:left w:w="53" w:type="dxa"/>
              <w:bottom w:w="0" w:type="dxa"/>
              <w:right w:w="0" w:type="dxa"/>
            </w:tcMar>
            <w:vAlign w:val="bottom"/>
          </w:tcPr>
          <w:p w14:paraId="35496AD4" w14:textId="77777777" w:rsidR="002E0961" w:rsidRDefault="00BD0E60">
            <w:pPr>
              <w:keepNext/>
              <w:spacing w:before="75" w:after="30" w:line="200" w:lineRule="auto"/>
              <w:jc w:val="right"/>
            </w:pPr>
            <w:r>
              <w:rPr>
                <w:color w:val="000000"/>
                <w:sz w:val="20"/>
              </w:rPr>
              <w:t>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C940581" w14:textId="77777777" w:rsidR="002E0961" w:rsidRDefault="002E0961">
            <w:pPr>
              <w:keepNext/>
              <w:spacing w:before="75" w:after="30" w:line="200" w:lineRule="auto"/>
            </w:pPr>
          </w:p>
        </w:tc>
      </w:tr>
      <w:tr w:rsidR="002E0961" w14:paraId="5539C165" w14:textId="77777777">
        <w:trPr>
          <w:cantSplit/>
          <w:trHeight w:hRule="exact" w:val="330"/>
          <w:jc w:val="center"/>
        </w:trPr>
        <w:tc>
          <w:tcPr>
            <w:tcW w:w="6525" w:type="dxa"/>
            <w:tcBorders>
              <w:top w:val="nil"/>
              <w:left w:val="nil"/>
              <w:bottom w:val="nil"/>
              <w:right w:val="nil"/>
            </w:tcBorders>
            <w:shd w:val="clear" w:color="auto" w:fill="CCEEFF"/>
            <w:tcMar>
              <w:top w:w="0" w:type="dxa"/>
              <w:left w:w="53" w:type="dxa"/>
              <w:bottom w:w="0" w:type="dxa"/>
              <w:right w:w="53" w:type="dxa"/>
            </w:tcMar>
            <w:vAlign w:val="bottom"/>
          </w:tcPr>
          <w:p w14:paraId="72640DBA" w14:textId="77777777" w:rsidR="002E0961" w:rsidRDefault="00BD0E60">
            <w:pPr>
              <w:keepNext/>
              <w:spacing w:before="75" w:after="30" w:line="200" w:lineRule="auto"/>
            </w:pPr>
            <w:r>
              <w:rPr>
                <w:color w:val="000000"/>
                <w:sz w:val="20"/>
              </w:rPr>
              <w:t>Principal and interest payments received on financing receivables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36F9DDF" w14:textId="77777777" w:rsidR="002E0961" w:rsidRDefault="002E0961">
            <w:pPr>
              <w:keepNext/>
            </w:pPr>
          </w:p>
        </w:tc>
        <w:tc>
          <w:tcPr>
            <w:tcW w:w="1595" w:type="dxa"/>
            <w:gridSpan w:val="2"/>
            <w:tcBorders>
              <w:top w:val="nil"/>
              <w:left w:val="nil"/>
              <w:bottom w:val="nil"/>
              <w:right w:val="nil"/>
            </w:tcBorders>
            <w:shd w:val="clear" w:color="auto" w:fill="CCEEFF"/>
            <w:tcMar>
              <w:top w:w="0" w:type="dxa"/>
              <w:left w:w="53" w:type="dxa"/>
              <w:bottom w:w="0" w:type="dxa"/>
              <w:right w:w="0" w:type="dxa"/>
            </w:tcMar>
            <w:vAlign w:val="bottom"/>
          </w:tcPr>
          <w:p w14:paraId="6C082CE1" w14:textId="77777777" w:rsidR="002E0961" w:rsidRDefault="00BD0E60">
            <w:pPr>
              <w:keepNext/>
              <w:spacing w:before="75" w:after="30" w:line="200" w:lineRule="auto"/>
              <w:jc w:val="right"/>
            </w:pPr>
            <w:r>
              <w:rPr>
                <w:color w:val="000000"/>
                <w:sz w:val="20"/>
              </w:rPr>
              <w:t>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0AEAEC6"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8739F4C" w14:textId="77777777" w:rsidR="002E0961" w:rsidRDefault="002E0961">
            <w:pPr>
              <w:keepNext/>
            </w:pPr>
          </w:p>
        </w:tc>
        <w:tc>
          <w:tcPr>
            <w:tcW w:w="1550" w:type="dxa"/>
            <w:gridSpan w:val="2"/>
            <w:tcBorders>
              <w:top w:val="nil"/>
              <w:left w:val="nil"/>
              <w:bottom w:val="nil"/>
              <w:right w:val="nil"/>
            </w:tcBorders>
            <w:shd w:val="clear" w:color="auto" w:fill="CCEEFF"/>
            <w:tcMar>
              <w:top w:w="0" w:type="dxa"/>
              <w:left w:w="53" w:type="dxa"/>
              <w:bottom w:w="0" w:type="dxa"/>
              <w:right w:w="0" w:type="dxa"/>
            </w:tcMar>
            <w:vAlign w:val="bottom"/>
          </w:tcPr>
          <w:p w14:paraId="26B2F762" w14:textId="77777777" w:rsidR="002E0961" w:rsidRDefault="00BD0E60">
            <w:pPr>
              <w:keepNext/>
              <w:spacing w:before="75" w:after="30" w:line="200" w:lineRule="auto"/>
              <w:jc w:val="right"/>
            </w:pPr>
            <w:r>
              <w:rPr>
                <w:color w:val="000000"/>
                <w:sz w:val="20"/>
              </w:rPr>
              <w:t>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AC93D19" w14:textId="77777777" w:rsidR="002E0961" w:rsidRDefault="002E0961">
            <w:pPr>
              <w:keepNext/>
              <w:spacing w:before="75" w:after="30" w:line="200" w:lineRule="auto"/>
            </w:pPr>
          </w:p>
        </w:tc>
      </w:tr>
      <w:tr w:rsidR="002E0961" w14:paraId="70B809FE" w14:textId="77777777">
        <w:trPr>
          <w:cantSplit/>
          <w:trHeight w:hRule="exact" w:val="495"/>
          <w:jc w:val="center"/>
        </w:trPr>
        <w:tc>
          <w:tcPr>
            <w:tcW w:w="6525" w:type="dxa"/>
            <w:tcBorders>
              <w:top w:val="nil"/>
              <w:left w:val="nil"/>
              <w:bottom w:val="nil"/>
              <w:right w:val="nil"/>
            </w:tcBorders>
            <w:shd w:val="clear" w:color="auto" w:fill="FFFFFF"/>
            <w:tcMar>
              <w:top w:w="0" w:type="dxa"/>
              <w:left w:w="53" w:type="dxa"/>
              <w:bottom w:w="0" w:type="dxa"/>
              <w:right w:w="53" w:type="dxa"/>
            </w:tcMar>
            <w:vAlign w:val="bottom"/>
          </w:tcPr>
          <w:p w14:paraId="23BD2D50" w14:textId="77777777" w:rsidR="002E0961" w:rsidRDefault="00BD0E60">
            <w:pPr>
              <w:spacing w:before="75" w:after="30" w:line="200" w:lineRule="auto"/>
            </w:pPr>
            <w:r>
              <w:rPr>
                <w:color w:val="000000"/>
                <w:sz w:val="20"/>
              </w:rPr>
              <w:t>Cash available for distribution attributable to the Partnership’s common unitholders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B8025F0" w14:textId="77777777" w:rsidR="002E0961" w:rsidRDefault="002E0961"/>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6E3C33CA" w14:textId="77777777" w:rsidR="002E0961" w:rsidRDefault="00BD0E60">
            <w:pPr>
              <w:spacing w:before="55" w:after="30" w:line="200" w:lineRule="auto"/>
            </w:pPr>
            <w:r>
              <w:rPr>
                <w:color w:val="000000"/>
                <w:sz w:val="20"/>
              </w:rPr>
              <w:t>$</w:t>
            </w:r>
          </w:p>
        </w:tc>
        <w:tc>
          <w:tcPr>
            <w:tcW w:w="143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169BB0CA" w14:textId="77777777" w:rsidR="002E0961" w:rsidRDefault="00BD0E60">
            <w:pPr>
              <w:spacing w:before="55" w:after="30" w:line="200" w:lineRule="auto"/>
              <w:jc w:val="right"/>
            </w:pPr>
            <w:r>
              <w:rPr>
                <w:color w:val="000000"/>
                <w:sz w:val="20"/>
              </w:rPr>
              <w:t>163 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DD9F824" w14:textId="77777777" w:rsidR="002E0961" w:rsidRDefault="002E0961">
            <w:pPr>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E117736" w14:textId="77777777" w:rsidR="002E0961" w:rsidRDefault="002E0961"/>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5F172F74" w14:textId="77777777" w:rsidR="002E0961" w:rsidRDefault="00BD0E60">
            <w:pPr>
              <w:spacing w:before="55" w:after="30" w:line="200" w:lineRule="auto"/>
            </w:pPr>
            <w:r>
              <w:rPr>
                <w:color w:val="000000"/>
                <w:sz w:val="20"/>
              </w:rPr>
              <w:t>$</w:t>
            </w:r>
          </w:p>
        </w:tc>
        <w:tc>
          <w:tcPr>
            <w:tcW w:w="1390"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17845101" w14:textId="77777777" w:rsidR="002E0961" w:rsidRDefault="00BD0E60">
            <w:pPr>
              <w:spacing w:before="55" w:after="30" w:line="200" w:lineRule="auto"/>
              <w:jc w:val="right"/>
            </w:pPr>
            <w:r>
              <w:rPr>
                <w:color w:val="000000"/>
                <w:sz w:val="20"/>
              </w:rPr>
              <w:t>163 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A24615D" w14:textId="77777777" w:rsidR="002E0961" w:rsidRDefault="002E0961">
            <w:pPr>
              <w:spacing w:before="55" w:after="30" w:line="200" w:lineRule="auto"/>
            </w:pPr>
          </w:p>
        </w:tc>
      </w:tr>
    </w:tbl>
    <w:p w14:paraId="5F6453FA" w14:textId="77777777" w:rsidR="002E0961" w:rsidRDefault="00BD0E60">
      <w:pPr>
        <w:spacing w:before="120" w:line="248" w:lineRule="auto"/>
        <w:ind w:left="180" w:firstLine="90"/>
        <w:rPr>
          <w:sz w:val="18"/>
          <w:vertAlign w:val="superscript"/>
        </w:rPr>
      </w:pPr>
      <w:r>
        <w:rPr>
          <w:i/>
          <w:sz w:val="18"/>
          <w:vertAlign w:val="superscript"/>
        </w:rPr>
        <w:t>(1)</w:t>
      </w:r>
      <w:r>
        <w:rPr>
          <w:i/>
          <w:sz w:val="18"/>
        </w:rPr>
        <w:t xml:space="preserve"> Amount represents both paid and accrued interest attributable to the period.</w:t>
      </w:r>
    </w:p>
    <w:p w14:paraId="26F67DA8" w14:textId="77777777" w:rsidR="002E0961" w:rsidRDefault="002E0961">
      <w:pPr>
        <w:spacing w:line="176" w:lineRule="auto"/>
        <w:ind w:left="450" w:hanging="180"/>
        <w:rPr>
          <w:i/>
          <w:sz w:val="18"/>
          <w:shd w:val="clear" w:color="auto" w:fill="99FF99"/>
          <w:vertAlign w:val="superscript"/>
        </w:rPr>
      </w:pPr>
    </w:p>
    <w:p w14:paraId="593F55B8" w14:textId="77777777" w:rsidR="002E0961" w:rsidRDefault="002E0961">
      <w:pPr>
        <w:spacing w:line="248" w:lineRule="auto"/>
        <w:rPr>
          <w:sz w:val="20"/>
        </w:rPr>
      </w:pPr>
    </w:p>
    <w:p w14:paraId="6DC85CD1" w14:textId="77777777" w:rsidR="002E0961" w:rsidRDefault="00BD0E60">
      <w:pPr>
        <w:spacing w:line="248" w:lineRule="auto"/>
        <w:jc w:val="both"/>
        <w:rPr>
          <w:sz w:val="20"/>
        </w:rPr>
      </w:pPr>
      <w:r>
        <w:rPr>
          <w:sz w:val="20"/>
        </w:rPr>
        <w:t>See</w:t>
      </w:r>
      <w:r>
        <w:rPr>
          <w:i/>
          <w:sz w:val="20"/>
        </w:rPr>
        <w:t xml:space="preserve"> </w:t>
      </w:r>
      <w:r>
        <w:rPr>
          <w:sz w:val="20"/>
        </w:rPr>
        <w:t>“</w:t>
      </w:r>
      <w:r>
        <w:rPr>
          <w:i/>
          <w:sz w:val="20"/>
        </w:rPr>
        <w:t>Non-GAAP Financial Measures</w:t>
      </w:r>
      <w:r>
        <w:rPr>
          <w:sz w:val="20"/>
        </w:rPr>
        <w:t>”</w:t>
      </w:r>
      <w:r>
        <w:rPr>
          <w:i/>
          <w:sz w:val="20"/>
        </w:rPr>
        <w:t xml:space="preserve"> </w:t>
      </w:r>
      <w:r>
        <w:rPr>
          <w:sz w:val="20"/>
        </w:rPr>
        <w:t>later in this press release.</w:t>
      </w:r>
    </w:p>
    <w:p w14:paraId="3A9DAA1F" w14:textId="77777777" w:rsidR="002E0961" w:rsidRDefault="002E0961">
      <w:pPr>
        <w:spacing w:line="248" w:lineRule="auto"/>
        <w:jc w:val="both"/>
        <w:rPr>
          <w:i/>
          <w:sz w:val="20"/>
        </w:rPr>
      </w:pPr>
    </w:p>
    <w:p w14:paraId="4D944C31" w14:textId="77777777" w:rsidR="002E0961" w:rsidRDefault="002E0961">
      <w:pPr>
        <w:spacing w:line="248" w:lineRule="auto"/>
        <w:jc w:val="both"/>
        <w:rPr>
          <w:i/>
          <w:sz w:val="20"/>
        </w:rPr>
      </w:pPr>
    </w:p>
    <w:p w14:paraId="4D3BC0FA" w14:textId="77777777" w:rsidR="002E0961" w:rsidRDefault="002E0961">
      <w:pPr>
        <w:keepNext/>
        <w:spacing w:line="248" w:lineRule="auto"/>
        <w:rPr>
          <w:sz w:val="20"/>
        </w:rPr>
      </w:pPr>
    </w:p>
    <w:p w14:paraId="0867141C" w14:textId="77777777" w:rsidR="002E0961" w:rsidRDefault="002E0961">
      <w:pPr>
        <w:spacing w:line="248" w:lineRule="auto"/>
        <w:rPr>
          <w:sz w:val="20"/>
        </w:rPr>
      </w:pPr>
    </w:p>
    <w:p w14:paraId="757B2F1D" w14:textId="77777777" w:rsidR="002E0961" w:rsidRDefault="002E0961">
      <w:pPr>
        <w:spacing w:line="248" w:lineRule="auto"/>
        <w:rPr>
          <w:i/>
          <w:sz w:val="20"/>
        </w:rPr>
      </w:pPr>
    </w:p>
    <w:p w14:paraId="11CB6D8A" w14:textId="77777777" w:rsidR="002E0961" w:rsidRDefault="002E0961">
      <w:pPr>
        <w:spacing w:line="248" w:lineRule="auto"/>
        <w:rPr>
          <w:i/>
          <w:sz w:val="20"/>
        </w:rPr>
      </w:pPr>
    </w:p>
    <w:p w14:paraId="4436004E" w14:textId="77777777" w:rsidR="002E0961" w:rsidRDefault="002E0961">
      <w:pPr>
        <w:spacing w:line="248" w:lineRule="auto"/>
        <w:rPr>
          <w:sz w:val="20"/>
        </w:rPr>
      </w:pPr>
    </w:p>
    <w:p w14:paraId="66B67A83" w14:textId="77777777" w:rsidR="002E0961" w:rsidRDefault="002E0961">
      <w:pPr>
        <w:pageBreakBefore/>
        <w:spacing w:line="248" w:lineRule="auto"/>
        <w:rPr>
          <w:rFonts w:ascii="Arial" w:eastAsia="Arial" w:hAnsi="Arial" w:cs="Arial"/>
        </w:rPr>
      </w:pPr>
    </w:p>
    <w:tbl>
      <w:tblPr>
        <w:tblW w:w="10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0"/>
        <w:gridCol w:w="275"/>
        <w:gridCol w:w="163"/>
        <w:gridCol w:w="1234"/>
        <w:gridCol w:w="102"/>
        <w:gridCol w:w="184"/>
        <w:gridCol w:w="163"/>
        <w:gridCol w:w="1265"/>
        <w:gridCol w:w="102"/>
      </w:tblGrid>
      <w:tr w:rsidR="002E0961" w14:paraId="3040D00F" w14:textId="77777777">
        <w:trPr>
          <w:cantSplit/>
          <w:trHeight w:hRule="exact" w:val="300"/>
          <w:jc w:val="center"/>
        </w:trPr>
        <w:tc>
          <w:tcPr>
            <w:tcW w:w="10410" w:type="dxa"/>
            <w:gridSpan w:val="9"/>
            <w:tcBorders>
              <w:top w:val="nil"/>
              <w:left w:val="nil"/>
              <w:bottom w:val="nil"/>
              <w:right w:val="nil"/>
            </w:tcBorders>
            <w:tcMar>
              <w:top w:w="0" w:type="dxa"/>
              <w:left w:w="53" w:type="dxa"/>
              <w:bottom w:w="0" w:type="dxa"/>
              <w:right w:w="53" w:type="dxa"/>
            </w:tcMar>
            <w:vAlign w:val="bottom"/>
          </w:tcPr>
          <w:p w14:paraId="0186ED0E" w14:textId="77777777" w:rsidR="002E0961" w:rsidRDefault="00BD0E60">
            <w:pPr>
              <w:keepNext/>
              <w:spacing w:before="75" w:after="30" w:line="209" w:lineRule="auto"/>
              <w:rPr>
                <w:b/>
                <w:sz w:val="22"/>
              </w:rPr>
            </w:pPr>
            <w:r>
              <w:rPr>
                <w:b/>
                <w:sz w:val="22"/>
              </w:rPr>
              <w:t>Distribution Information</w:t>
            </w:r>
          </w:p>
        </w:tc>
      </w:tr>
      <w:tr w:rsidR="002E0961" w14:paraId="5C060204" w14:textId="77777777">
        <w:trPr>
          <w:cantSplit/>
          <w:trHeight w:hRule="exact" w:val="300"/>
          <w:jc w:val="center"/>
        </w:trPr>
        <w:tc>
          <w:tcPr>
            <w:tcW w:w="6990" w:type="dxa"/>
            <w:tcBorders>
              <w:top w:val="nil"/>
              <w:left w:val="nil"/>
              <w:bottom w:val="nil"/>
              <w:right w:val="nil"/>
            </w:tcBorders>
            <w:tcMar>
              <w:top w:w="0" w:type="dxa"/>
              <w:left w:w="0" w:type="dxa"/>
              <w:bottom w:w="0" w:type="dxa"/>
              <w:right w:w="0" w:type="dxa"/>
            </w:tcMar>
            <w:vAlign w:val="bottom"/>
          </w:tcPr>
          <w:p w14:paraId="417A9C1A" w14:textId="77777777" w:rsidR="002E0961" w:rsidRDefault="002E0961">
            <w:pPr>
              <w:keepNext/>
            </w:pPr>
          </w:p>
        </w:tc>
        <w:tc>
          <w:tcPr>
            <w:tcW w:w="270" w:type="dxa"/>
            <w:tcBorders>
              <w:top w:val="nil"/>
              <w:left w:val="nil"/>
              <w:bottom w:val="nil"/>
              <w:right w:val="nil"/>
            </w:tcBorders>
            <w:tcMar>
              <w:top w:w="0" w:type="dxa"/>
              <w:left w:w="0" w:type="dxa"/>
              <w:bottom w:w="0" w:type="dxa"/>
              <w:right w:w="0" w:type="dxa"/>
            </w:tcMar>
            <w:vAlign w:val="bottom"/>
          </w:tcPr>
          <w:p w14:paraId="17C36FD2" w14:textId="77777777" w:rsidR="002E0961" w:rsidRDefault="002E0961">
            <w:pPr>
              <w:keepNext/>
            </w:pPr>
          </w:p>
        </w:tc>
        <w:tc>
          <w:tcPr>
            <w:tcW w:w="1470" w:type="dxa"/>
            <w:gridSpan w:val="3"/>
            <w:tcBorders>
              <w:top w:val="nil"/>
              <w:left w:val="nil"/>
              <w:bottom w:val="nil"/>
              <w:right w:val="nil"/>
            </w:tcBorders>
            <w:tcMar>
              <w:top w:w="0" w:type="dxa"/>
              <w:left w:w="0" w:type="dxa"/>
              <w:bottom w:w="0" w:type="dxa"/>
              <w:right w:w="0" w:type="dxa"/>
            </w:tcMar>
            <w:vAlign w:val="bottom"/>
          </w:tcPr>
          <w:p w14:paraId="3FA58954" w14:textId="77777777" w:rsidR="002E0961" w:rsidRDefault="002E0961">
            <w:pPr>
              <w:keepNext/>
            </w:pPr>
          </w:p>
        </w:tc>
        <w:tc>
          <w:tcPr>
            <w:tcW w:w="180" w:type="dxa"/>
            <w:tcBorders>
              <w:top w:val="nil"/>
              <w:left w:val="nil"/>
              <w:bottom w:val="nil"/>
              <w:right w:val="nil"/>
            </w:tcBorders>
            <w:tcMar>
              <w:top w:w="0" w:type="dxa"/>
              <w:left w:w="0" w:type="dxa"/>
              <w:bottom w:w="0" w:type="dxa"/>
              <w:right w:w="0" w:type="dxa"/>
            </w:tcMar>
            <w:vAlign w:val="bottom"/>
          </w:tcPr>
          <w:p w14:paraId="4C9244A4" w14:textId="77777777" w:rsidR="002E0961" w:rsidRDefault="002E0961">
            <w:pPr>
              <w:keepNext/>
            </w:pPr>
          </w:p>
        </w:tc>
        <w:tc>
          <w:tcPr>
            <w:tcW w:w="1500" w:type="dxa"/>
            <w:gridSpan w:val="3"/>
            <w:tcBorders>
              <w:top w:val="nil"/>
              <w:left w:val="nil"/>
              <w:bottom w:val="nil"/>
              <w:right w:val="nil"/>
            </w:tcBorders>
            <w:tcMar>
              <w:top w:w="0" w:type="dxa"/>
              <w:left w:w="0" w:type="dxa"/>
              <w:bottom w:w="0" w:type="dxa"/>
              <w:right w:w="0" w:type="dxa"/>
            </w:tcMar>
            <w:vAlign w:val="bottom"/>
          </w:tcPr>
          <w:p w14:paraId="22601B5A" w14:textId="77777777" w:rsidR="002E0961" w:rsidRDefault="002E0961">
            <w:pPr>
              <w:keepNext/>
            </w:pPr>
          </w:p>
        </w:tc>
      </w:tr>
      <w:tr w:rsidR="002E0961" w14:paraId="42472D83" w14:textId="77777777">
        <w:trPr>
          <w:cantSplit/>
          <w:trHeight w:hRule="exact" w:val="300"/>
          <w:jc w:val="center"/>
        </w:trPr>
        <w:tc>
          <w:tcPr>
            <w:tcW w:w="6990" w:type="dxa"/>
            <w:tcBorders>
              <w:top w:val="nil"/>
              <w:left w:val="nil"/>
              <w:bottom w:val="nil"/>
              <w:right w:val="nil"/>
            </w:tcBorders>
            <w:tcMar>
              <w:top w:w="0" w:type="dxa"/>
              <w:left w:w="0" w:type="dxa"/>
              <w:bottom w:w="0" w:type="dxa"/>
              <w:right w:w="0" w:type="dxa"/>
            </w:tcMar>
            <w:vAlign w:val="bottom"/>
          </w:tcPr>
          <w:p w14:paraId="6D8847BD" w14:textId="77777777" w:rsidR="002E0961" w:rsidRDefault="002E0961">
            <w:pPr>
              <w:keepNext/>
            </w:pPr>
          </w:p>
        </w:tc>
        <w:tc>
          <w:tcPr>
            <w:tcW w:w="270" w:type="dxa"/>
            <w:tcBorders>
              <w:top w:val="nil"/>
              <w:left w:val="nil"/>
              <w:bottom w:val="nil"/>
              <w:right w:val="nil"/>
            </w:tcBorders>
            <w:tcMar>
              <w:top w:w="0" w:type="dxa"/>
              <w:left w:w="0" w:type="dxa"/>
              <w:bottom w:w="0" w:type="dxa"/>
              <w:right w:w="0" w:type="dxa"/>
            </w:tcMar>
            <w:vAlign w:val="bottom"/>
          </w:tcPr>
          <w:p w14:paraId="20351A45" w14:textId="77777777" w:rsidR="002E0961" w:rsidRDefault="002E0961">
            <w:pPr>
              <w:keepNext/>
            </w:pPr>
          </w:p>
        </w:tc>
        <w:tc>
          <w:tcPr>
            <w:tcW w:w="3150" w:type="dxa"/>
            <w:gridSpan w:val="7"/>
            <w:tcBorders>
              <w:top w:val="nil"/>
              <w:left w:val="nil"/>
              <w:bottom w:val="nil"/>
              <w:right w:val="nil"/>
            </w:tcBorders>
            <w:tcMar>
              <w:top w:w="0" w:type="dxa"/>
              <w:left w:w="53" w:type="dxa"/>
              <w:bottom w:w="0" w:type="dxa"/>
              <w:right w:w="53" w:type="dxa"/>
            </w:tcMar>
            <w:vAlign w:val="bottom"/>
          </w:tcPr>
          <w:p w14:paraId="303D7F3E" w14:textId="77777777" w:rsidR="002E0961" w:rsidRDefault="00BD0E60">
            <w:pPr>
              <w:keepNext/>
              <w:spacing w:before="75" w:after="30" w:line="200" w:lineRule="auto"/>
              <w:jc w:val="center"/>
            </w:pPr>
            <w:r>
              <w:rPr>
                <w:b/>
                <w:color w:val="000000"/>
                <w:sz w:val="16"/>
              </w:rPr>
              <w:t>For the Three Months Ended</w:t>
            </w:r>
          </w:p>
        </w:tc>
      </w:tr>
      <w:tr w:rsidR="002E0961" w14:paraId="4D6504EE" w14:textId="77777777">
        <w:trPr>
          <w:cantSplit/>
          <w:trHeight w:hRule="exact" w:val="255"/>
          <w:jc w:val="center"/>
        </w:trPr>
        <w:tc>
          <w:tcPr>
            <w:tcW w:w="6990" w:type="dxa"/>
            <w:tcBorders>
              <w:top w:val="nil"/>
              <w:left w:val="nil"/>
              <w:bottom w:val="nil"/>
              <w:right w:val="nil"/>
            </w:tcBorders>
            <w:tcMar>
              <w:top w:w="0" w:type="dxa"/>
              <w:left w:w="53" w:type="dxa"/>
              <w:bottom w:w="0" w:type="dxa"/>
              <w:right w:w="53" w:type="dxa"/>
            </w:tcMar>
            <w:vAlign w:val="bottom"/>
          </w:tcPr>
          <w:p w14:paraId="3FA9D913" w14:textId="77777777" w:rsidR="002E0961" w:rsidRDefault="00BD0E60">
            <w:pPr>
              <w:keepNext/>
              <w:spacing w:before="75" w:after="30" w:line="200" w:lineRule="auto"/>
            </w:pPr>
            <w:r>
              <w:rPr>
                <w:b/>
                <w:color w:val="000000"/>
                <w:sz w:val="16"/>
              </w:rPr>
              <w:t>(in millions of dollars, except per-unit and ratio data)</w:t>
            </w:r>
          </w:p>
        </w:tc>
        <w:tc>
          <w:tcPr>
            <w:tcW w:w="270" w:type="dxa"/>
            <w:tcBorders>
              <w:top w:val="nil"/>
              <w:left w:val="nil"/>
              <w:bottom w:val="nil"/>
              <w:right w:val="nil"/>
            </w:tcBorders>
            <w:tcMar>
              <w:top w:w="0" w:type="dxa"/>
              <w:left w:w="0" w:type="dxa"/>
              <w:bottom w:w="0" w:type="dxa"/>
              <w:right w:w="0" w:type="dxa"/>
            </w:tcMar>
            <w:vAlign w:val="bottom"/>
          </w:tcPr>
          <w:p w14:paraId="71F9899D" w14:textId="77777777" w:rsidR="002E0961" w:rsidRDefault="002E0961">
            <w:pPr>
              <w:keepNext/>
            </w:pPr>
          </w:p>
        </w:tc>
        <w:tc>
          <w:tcPr>
            <w:tcW w:w="147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0D213277" w14:textId="77777777" w:rsidR="002E0961" w:rsidRDefault="00BD0E60">
            <w:pPr>
              <w:keepNext/>
              <w:spacing w:before="55" w:after="30" w:line="200" w:lineRule="auto"/>
              <w:jc w:val="center"/>
            </w:pPr>
            <w:r>
              <w:rPr>
                <w:b/>
                <w:color w:val="000000"/>
                <w:sz w:val="16"/>
              </w:rPr>
              <w:t>September 30, 2020</w:t>
            </w:r>
          </w:p>
        </w:tc>
        <w:tc>
          <w:tcPr>
            <w:tcW w:w="180" w:type="dxa"/>
            <w:tcBorders>
              <w:top w:val="single" w:sz="8" w:space="0" w:color="000000"/>
              <w:left w:val="nil"/>
              <w:bottom w:val="nil"/>
              <w:right w:val="nil"/>
            </w:tcBorders>
            <w:tcMar>
              <w:top w:w="0" w:type="dxa"/>
              <w:left w:w="0" w:type="dxa"/>
              <w:bottom w:w="0" w:type="dxa"/>
              <w:right w:w="0" w:type="dxa"/>
            </w:tcMar>
            <w:vAlign w:val="bottom"/>
          </w:tcPr>
          <w:p w14:paraId="4D99BE65" w14:textId="77777777" w:rsidR="002E0961" w:rsidRDefault="002E0961">
            <w:pPr>
              <w:keepNext/>
            </w:pPr>
          </w:p>
        </w:tc>
        <w:tc>
          <w:tcPr>
            <w:tcW w:w="150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1E2A0741" w14:textId="77777777" w:rsidR="002E0961" w:rsidRDefault="00BD0E60">
            <w:pPr>
              <w:keepNext/>
              <w:spacing w:before="55" w:after="30" w:line="200" w:lineRule="auto"/>
              <w:jc w:val="center"/>
            </w:pPr>
            <w:r>
              <w:rPr>
                <w:b/>
                <w:color w:val="000000"/>
                <w:sz w:val="16"/>
              </w:rPr>
              <w:t>June 30, 2020</w:t>
            </w:r>
          </w:p>
        </w:tc>
      </w:tr>
      <w:tr w:rsidR="002E0961" w14:paraId="26AB8BFF" w14:textId="77777777">
        <w:trPr>
          <w:cantSplit/>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377B00C5" w14:textId="77777777" w:rsidR="002E0961" w:rsidRDefault="00BD0E60">
            <w:pPr>
              <w:keepNext/>
              <w:spacing w:before="75" w:after="30" w:line="200" w:lineRule="auto"/>
            </w:pPr>
            <w:r>
              <w:rPr>
                <w:color w:val="000000"/>
                <w:sz w:val="20"/>
              </w:rPr>
              <w:t>Quarterly distribution declared per common unit</w:t>
            </w:r>
          </w:p>
        </w:tc>
        <w:tc>
          <w:tcPr>
            <w:tcW w:w="270" w:type="dxa"/>
            <w:tcBorders>
              <w:top w:val="nil"/>
              <w:left w:val="nil"/>
              <w:bottom w:val="nil"/>
              <w:right w:val="nil"/>
            </w:tcBorders>
            <w:shd w:val="clear" w:color="auto" w:fill="CCEEFF"/>
            <w:tcMar>
              <w:top w:w="0" w:type="dxa"/>
              <w:left w:w="0" w:type="dxa"/>
              <w:bottom w:w="0" w:type="dxa"/>
              <w:right w:w="0" w:type="dxa"/>
            </w:tcMar>
            <w:vAlign w:val="bottom"/>
          </w:tcPr>
          <w:p w14:paraId="04D94509" w14:textId="77777777" w:rsidR="002E0961" w:rsidRDefault="002E0961">
            <w:pPr>
              <w:keepNext/>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1E3A17FA" w14:textId="77777777" w:rsidR="002E0961" w:rsidRDefault="00BD0E60">
            <w:pPr>
              <w:keepNext/>
              <w:spacing w:before="55" w:after="30" w:line="200" w:lineRule="auto"/>
            </w:pPr>
            <w:r>
              <w:rPr>
                <w:color w:val="000000"/>
                <w:sz w:val="20"/>
              </w:rPr>
              <w:t>$</w:t>
            </w:r>
          </w:p>
        </w:tc>
        <w:tc>
          <w:tcPr>
            <w:tcW w:w="121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5B6A405" w14:textId="77777777" w:rsidR="002E0961" w:rsidRDefault="00BD0E60">
            <w:pPr>
              <w:keepNext/>
              <w:spacing w:before="55" w:after="30" w:line="200" w:lineRule="auto"/>
              <w:jc w:val="right"/>
            </w:pPr>
            <w:r>
              <w:rPr>
                <w:color w:val="000000"/>
                <w:sz w:val="20"/>
              </w:rPr>
              <w:t>0.4600 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ABF1142" w14:textId="77777777" w:rsidR="002E0961" w:rsidRDefault="002E0961">
            <w:pPr>
              <w:keepNext/>
              <w:spacing w:before="55" w:after="30" w:line="200" w:lineRule="auto"/>
            </w:pPr>
          </w:p>
        </w:tc>
        <w:tc>
          <w:tcPr>
            <w:tcW w:w="180" w:type="dxa"/>
            <w:tcBorders>
              <w:top w:val="nil"/>
              <w:left w:val="nil"/>
              <w:bottom w:val="nil"/>
              <w:right w:val="nil"/>
            </w:tcBorders>
            <w:shd w:val="clear" w:color="auto" w:fill="CCEEFF"/>
            <w:tcMar>
              <w:top w:w="0" w:type="dxa"/>
              <w:left w:w="0" w:type="dxa"/>
              <w:bottom w:w="0" w:type="dxa"/>
              <w:right w:w="0" w:type="dxa"/>
            </w:tcMar>
            <w:vAlign w:val="bottom"/>
          </w:tcPr>
          <w:p w14:paraId="4F05E8B8" w14:textId="77777777" w:rsidR="002E0961" w:rsidRDefault="002E0961">
            <w:pPr>
              <w:keepNext/>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30BDA938" w14:textId="77777777" w:rsidR="002E0961" w:rsidRDefault="00BD0E60">
            <w:pPr>
              <w:keepNext/>
              <w:spacing w:before="55" w:after="30" w:line="200" w:lineRule="auto"/>
            </w:pPr>
            <w:r>
              <w:rPr>
                <w:color w:val="000000"/>
                <w:sz w:val="20"/>
              </w:rPr>
              <w:t>$</w:t>
            </w:r>
          </w:p>
        </w:tc>
        <w:tc>
          <w:tcPr>
            <w:tcW w:w="124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711A308" w14:textId="77777777" w:rsidR="002E0961" w:rsidRDefault="00BD0E60">
            <w:pPr>
              <w:keepNext/>
              <w:spacing w:before="55" w:after="30" w:line="200" w:lineRule="auto"/>
              <w:jc w:val="right"/>
            </w:pPr>
            <w:r>
              <w:rPr>
                <w:color w:val="000000"/>
                <w:sz w:val="20"/>
              </w:rPr>
              <w:t>0.4600 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AA85400" w14:textId="77777777" w:rsidR="002E0961" w:rsidRDefault="002E0961">
            <w:pPr>
              <w:keepNext/>
              <w:spacing w:before="55" w:after="30" w:line="200" w:lineRule="auto"/>
            </w:pPr>
          </w:p>
        </w:tc>
      </w:tr>
      <w:tr w:rsidR="002E0961" w14:paraId="35D5844B" w14:textId="77777777">
        <w:trPr>
          <w:cantSplit/>
          <w:trHeight w:hRule="exact" w:val="300"/>
          <w:jc w:val="center"/>
        </w:trPr>
        <w:tc>
          <w:tcPr>
            <w:tcW w:w="6990" w:type="dxa"/>
            <w:tcBorders>
              <w:top w:val="nil"/>
              <w:left w:val="nil"/>
              <w:bottom w:val="nil"/>
              <w:right w:val="nil"/>
            </w:tcBorders>
            <w:shd w:val="clear" w:color="auto" w:fill="FFFFFF"/>
            <w:tcMar>
              <w:top w:w="0" w:type="dxa"/>
              <w:left w:w="0" w:type="dxa"/>
              <w:bottom w:w="0" w:type="dxa"/>
              <w:right w:w="0" w:type="dxa"/>
            </w:tcMar>
            <w:vAlign w:val="bottom"/>
          </w:tcPr>
          <w:p w14:paraId="1E268331" w14:textId="77777777" w:rsidR="002E0961" w:rsidRDefault="002E0961">
            <w:pPr>
              <w:keepNext/>
            </w:pPr>
          </w:p>
        </w:tc>
        <w:tc>
          <w:tcPr>
            <w:tcW w:w="270" w:type="dxa"/>
            <w:tcBorders>
              <w:top w:val="nil"/>
              <w:left w:val="nil"/>
              <w:bottom w:val="nil"/>
              <w:right w:val="nil"/>
            </w:tcBorders>
            <w:shd w:val="clear" w:color="auto" w:fill="FFFFFF"/>
            <w:tcMar>
              <w:top w:w="0" w:type="dxa"/>
              <w:left w:w="0" w:type="dxa"/>
              <w:bottom w:w="0" w:type="dxa"/>
              <w:right w:w="0" w:type="dxa"/>
            </w:tcMar>
            <w:vAlign w:val="bottom"/>
          </w:tcPr>
          <w:p w14:paraId="4683A234" w14:textId="77777777" w:rsidR="002E0961" w:rsidRDefault="002E0961">
            <w:pPr>
              <w:keepNext/>
            </w:pPr>
          </w:p>
        </w:tc>
        <w:tc>
          <w:tcPr>
            <w:tcW w:w="1470" w:type="dxa"/>
            <w:gridSpan w:val="3"/>
            <w:tcBorders>
              <w:top w:val="nil"/>
              <w:left w:val="nil"/>
              <w:bottom w:val="nil"/>
              <w:right w:val="nil"/>
            </w:tcBorders>
            <w:shd w:val="clear" w:color="auto" w:fill="FFFFFF"/>
            <w:tcMar>
              <w:top w:w="0" w:type="dxa"/>
              <w:left w:w="0" w:type="dxa"/>
              <w:bottom w:w="0" w:type="dxa"/>
              <w:right w:w="0" w:type="dxa"/>
            </w:tcMar>
            <w:vAlign w:val="bottom"/>
          </w:tcPr>
          <w:p w14:paraId="42F26F98" w14:textId="77777777" w:rsidR="002E0961" w:rsidRDefault="002E0961">
            <w:pPr>
              <w:keepNext/>
            </w:pPr>
          </w:p>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69AFF7BA" w14:textId="77777777" w:rsidR="002E0961" w:rsidRDefault="002E0961">
            <w:pPr>
              <w:keepNext/>
            </w:pPr>
          </w:p>
        </w:tc>
        <w:tc>
          <w:tcPr>
            <w:tcW w:w="1500" w:type="dxa"/>
            <w:gridSpan w:val="3"/>
            <w:tcBorders>
              <w:top w:val="nil"/>
              <w:left w:val="nil"/>
              <w:bottom w:val="nil"/>
              <w:right w:val="nil"/>
            </w:tcBorders>
            <w:shd w:val="clear" w:color="auto" w:fill="FFFFFF"/>
            <w:tcMar>
              <w:top w:w="0" w:type="dxa"/>
              <w:left w:w="0" w:type="dxa"/>
              <w:bottom w:w="0" w:type="dxa"/>
              <w:right w:w="0" w:type="dxa"/>
            </w:tcMar>
            <w:vAlign w:val="bottom"/>
          </w:tcPr>
          <w:p w14:paraId="1EBF8EC9" w14:textId="77777777" w:rsidR="002E0961" w:rsidRDefault="002E0961">
            <w:pPr>
              <w:keepNext/>
            </w:pPr>
          </w:p>
        </w:tc>
      </w:tr>
      <w:tr w:rsidR="002E0961" w14:paraId="37FA3705" w14:textId="77777777">
        <w:trPr>
          <w:cantSplit/>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5B4111D4" w14:textId="77777777" w:rsidR="002E0961" w:rsidRDefault="00BD0E60">
            <w:pPr>
              <w:keepNext/>
              <w:spacing w:before="75" w:after="30" w:line="209" w:lineRule="auto"/>
              <w:rPr>
                <w:sz w:val="20"/>
              </w:rPr>
            </w:pPr>
            <w:r>
              <w:rPr>
                <w:sz w:val="20"/>
              </w:rPr>
              <w:t xml:space="preserve">Adjusted EBITDA attributable to the Partnership </w:t>
            </w:r>
            <w:r>
              <w:rPr>
                <w:sz w:val="20"/>
                <w:vertAlign w:val="superscript"/>
              </w:rPr>
              <w:t>(1)</w:t>
            </w:r>
          </w:p>
        </w:tc>
        <w:tc>
          <w:tcPr>
            <w:tcW w:w="270" w:type="dxa"/>
            <w:tcBorders>
              <w:top w:val="nil"/>
              <w:left w:val="nil"/>
              <w:bottom w:val="nil"/>
              <w:right w:val="nil"/>
            </w:tcBorders>
            <w:shd w:val="clear" w:color="auto" w:fill="CCEEFF"/>
            <w:tcMar>
              <w:top w:w="0" w:type="dxa"/>
              <w:left w:w="0" w:type="dxa"/>
              <w:bottom w:w="0" w:type="dxa"/>
              <w:right w:w="0" w:type="dxa"/>
            </w:tcMar>
            <w:vAlign w:val="bottom"/>
          </w:tcPr>
          <w:p w14:paraId="6A55D106" w14:textId="77777777" w:rsidR="002E0961" w:rsidRDefault="002E0961">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7940B94E" w14:textId="77777777" w:rsidR="002E0961" w:rsidRDefault="00BD0E60">
            <w:pPr>
              <w:keepNext/>
              <w:spacing w:before="75" w:after="30" w:line="200" w:lineRule="auto"/>
            </w:pPr>
            <w:r>
              <w:rPr>
                <w:color w:val="000000"/>
                <w:sz w:val="20"/>
              </w:rPr>
              <w:t>$</w:t>
            </w:r>
          </w:p>
        </w:tc>
        <w:tc>
          <w:tcPr>
            <w:tcW w:w="1210" w:type="dxa"/>
            <w:tcBorders>
              <w:top w:val="nil"/>
              <w:left w:val="nil"/>
              <w:bottom w:val="nil"/>
              <w:right w:val="nil"/>
            </w:tcBorders>
            <w:shd w:val="clear" w:color="auto" w:fill="CCEEFF"/>
            <w:tcMar>
              <w:top w:w="0" w:type="dxa"/>
              <w:left w:w="0" w:type="dxa"/>
              <w:bottom w:w="0" w:type="dxa"/>
              <w:right w:w="0" w:type="dxa"/>
            </w:tcMar>
            <w:vAlign w:val="bottom"/>
          </w:tcPr>
          <w:p w14:paraId="4311D547" w14:textId="77777777" w:rsidR="002E0961" w:rsidRDefault="00BD0E60">
            <w:pPr>
              <w:keepNext/>
              <w:spacing w:before="75" w:after="30" w:line="200" w:lineRule="auto"/>
              <w:jc w:val="right"/>
            </w:pPr>
            <w:r>
              <w:rPr>
                <w:color w:val="000000"/>
                <w:sz w:val="20"/>
              </w:rPr>
              <w:t>191 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E2FED05" w14:textId="77777777" w:rsidR="002E0961" w:rsidRDefault="002E0961">
            <w:pPr>
              <w:keepNext/>
              <w:spacing w:before="75" w:after="30" w:line="200" w:lineRule="auto"/>
            </w:pPr>
          </w:p>
        </w:tc>
        <w:tc>
          <w:tcPr>
            <w:tcW w:w="180" w:type="dxa"/>
            <w:tcBorders>
              <w:top w:val="nil"/>
              <w:left w:val="nil"/>
              <w:bottom w:val="nil"/>
              <w:right w:val="nil"/>
            </w:tcBorders>
            <w:shd w:val="clear" w:color="auto" w:fill="CCEEFF"/>
            <w:tcMar>
              <w:top w:w="0" w:type="dxa"/>
              <w:left w:w="0" w:type="dxa"/>
              <w:bottom w:w="0" w:type="dxa"/>
              <w:right w:w="0" w:type="dxa"/>
            </w:tcMar>
            <w:vAlign w:val="bottom"/>
          </w:tcPr>
          <w:p w14:paraId="2FA4A5B2" w14:textId="77777777" w:rsidR="002E0961" w:rsidRDefault="002E0961">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5A755F13" w14:textId="77777777" w:rsidR="002E0961" w:rsidRDefault="00BD0E60">
            <w:pPr>
              <w:keepNext/>
              <w:spacing w:before="75" w:after="30" w:line="200" w:lineRule="auto"/>
            </w:pPr>
            <w:r>
              <w:rPr>
                <w:color w:val="000000"/>
                <w:sz w:val="20"/>
              </w:rPr>
              <w:t>$</w:t>
            </w:r>
          </w:p>
        </w:tc>
        <w:tc>
          <w:tcPr>
            <w:tcW w:w="1240" w:type="dxa"/>
            <w:tcBorders>
              <w:top w:val="nil"/>
              <w:left w:val="nil"/>
              <w:bottom w:val="nil"/>
              <w:right w:val="nil"/>
            </w:tcBorders>
            <w:shd w:val="clear" w:color="auto" w:fill="CCEEFF"/>
            <w:tcMar>
              <w:top w:w="0" w:type="dxa"/>
              <w:left w:w="0" w:type="dxa"/>
              <w:bottom w:w="0" w:type="dxa"/>
              <w:right w:w="0" w:type="dxa"/>
            </w:tcMar>
            <w:vAlign w:val="bottom"/>
          </w:tcPr>
          <w:p w14:paraId="63CD4BB2" w14:textId="77777777" w:rsidR="002E0961" w:rsidRDefault="00BD0E60">
            <w:pPr>
              <w:keepNext/>
              <w:spacing w:before="75" w:after="30" w:line="200" w:lineRule="auto"/>
              <w:jc w:val="right"/>
            </w:pPr>
            <w:r>
              <w:rPr>
                <w:color w:val="000000"/>
                <w:sz w:val="20"/>
              </w:rPr>
              <w:t>192 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5DDC5CD" w14:textId="77777777" w:rsidR="002E0961" w:rsidRDefault="002E0961">
            <w:pPr>
              <w:keepNext/>
              <w:spacing w:before="75" w:after="30" w:line="200" w:lineRule="auto"/>
            </w:pPr>
          </w:p>
        </w:tc>
      </w:tr>
      <w:tr w:rsidR="002E0961" w14:paraId="6AD2E3AE" w14:textId="77777777">
        <w:trPr>
          <w:cantSplit/>
          <w:trHeight w:hRule="exact" w:val="300"/>
          <w:jc w:val="center"/>
        </w:trPr>
        <w:tc>
          <w:tcPr>
            <w:tcW w:w="6990" w:type="dxa"/>
            <w:tcBorders>
              <w:top w:val="nil"/>
              <w:left w:val="nil"/>
              <w:bottom w:val="nil"/>
              <w:right w:val="nil"/>
            </w:tcBorders>
            <w:shd w:val="clear" w:color="auto" w:fill="FFFFFF"/>
            <w:tcMar>
              <w:top w:w="0" w:type="dxa"/>
              <w:left w:w="0" w:type="dxa"/>
              <w:bottom w:w="0" w:type="dxa"/>
              <w:right w:w="0" w:type="dxa"/>
            </w:tcMar>
            <w:vAlign w:val="bottom"/>
          </w:tcPr>
          <w:p w14:paraId="151D83B9" w14:textId="77777777" w:rsidR="002E0961" w:rsidRDefault="002E0961">
            <w:pPr>
              <w:keepNext/>
            </w:pPr>
          </w:p>
        </w:tc>
        <w:tc>
          <w:tcPr>
            <w:tcW w:w="270" w:type="dxa"/>
            <w:tcBorders>
              <w:top w:val="nil"/>
              <w:left w:val="nil"/>
              <w:bottom w:val="nil"/>
              <w:right w:val="nil"/>
            </w:tcBorders>
            <w:shd w:val="clear" w:color="auto" w:fill="FFFFFF"/>
            <w:tcMar>
              <w:top w:w="0" w:type="dxa"/>
              <w:left w:w="0" w:type="dxa"/>
              <w:bottom w:w="0" w:type="dxa"/>
              <w:right w:w="0" w:type="dxa"/>
            </w:tcMar>
            <w:vAlign w:val="bottom"/>
          </w:tcPr>
          <w:p w14:paraId="28531FEF" w14:textId="77777777" w:rsidR="002E0961" w:rsidRDefault="002E0961">
            <w:pPr>
              <w:keepNext/>
            </w:pPr>
          </w:p>
        </w:tc>
        <w:tc>
          <w:tcPr>
            <w:tcW w:w="1470" w:type="dxa"/>
            <w:gridSpan w:val="3"/>
            <w:tcBorders>
              <w:top w:val="nil"/>
              <w:left w:val="nil"/>
              <w:bottom w:val="nil"/>
              <w:right w:val="nil"/>
            </w:tcBorders>
            <w:shd w:val="clear" w:color="auto" w:fill="FFFFFF"/>
            <w:tcMar>
              <w:top w:w="0" w:type="dxa"/>
              <w:left w:w="0" w:type="dxa"/>
              <w:bottom w:w="0" w:type="dxa"/>
              <w:right w:w="0" w:type="dxa"/>
            </w:tcMar>
            <w:vAlign w:val="bottom"/>
          </w:tcPr>
          <w:p w14:paraId="17FCD17E" w14:textId="77777777" w:rsidR="002E0961" w:rsidRDefault="002E0961">
            <w:pPr>
              <w:keepNext/>
            </w:pPr>
          </w:p>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58FD950E" w14:textId="77777777" w:rsidR="002E0961" w:rsidRDefault="002E0961">
            <w:pPr>
              <w:keepNext/>
            </w:pPr>
          </w:p>
        </w:tc>
        <w:tc>
          <w:tcPr>
            <w:tcW w:w="1500" w:type="dxa"/>
            <w:gridSpan w:val="3"/>
            <w:tcBorders>
              <w:top w:val="nil"/>
              <w:left w:val="nil"/>
              <w:bottom w:val="nil"/>
              <w:right w:val="nil"/>
            </w:tcBorders>
            <w:shd w:val="clear" w:color="auto" w:fill="FFFFFF"/>
            <w:tcMar>
              <w:top w:w="0" w:type="dxa"/>
              <w:left w:w="0" w:type="dxa"/>
              <w:bottom w:w="0" w:type="dxa"/>
              <w:right w:w="0" w:type="dxa"/>
            </w:tcMar>
            <w:vAlign w:val="bottom"/>
          </w:tcPr>
          <w:p w14:paraId="134C2277" w14:textId="77777777" w:rsidR="002E0961" w:rsidRDefault="002E0961">
            <w:pPr>
              <w:keepNext/>
            </w:pPr>
          </w:p>
        </w:tc>
      </w:tr>
      <w:tr w:rsidR="002E0961" w14:paraId="6EC480F3" w14:textId="77777777">
        <w:trPr>
          <w:cantSplit/>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377569BF" w14:textId="77777777" w:rsidR="002E0961" w:rsidRDefault="00BD0E60">
            <w:pPr>
              <w:keepNext/>
              <w:spacing w:before="75" w:after="30" w:line="209" w:lineRule="auto"/>
              <w:rPr>
                <w:sz w:val="20"/>
              </w:rPr>
            </w:pPr>
            <w:r>
              <w:rPr>
                <w:sz w:val="20"/>
              </w:rPr>
              <w:t>Cash available for distribution attributable to the Partnership’s common unitholders</w:t>
            </w:r>
            <w:r>
              <w:rPr>
                <w:sz w:val="20"/>
                <w:vertAlign w:val="superscript"/>
              </w:rPr>
              <w:t xml:space="preserve"> (1)</w:t>
            </w:r>
          </w:p>
        </w:tc>
        <w:tc>
          <w:tcPr>
            <w:tcW w:w="270" w:type="dxa"/>
            <w:tcBorders>
              <w:top w:val="nil"/>
              <w:left w:val="nil"/>
              <w:bottom w:val="nil"/>
              <w:right w:val="nil"/>
            </w:tcBorders>
            <w:shd w:val="clear" w:color="auto" w:fill="CCEEFF"/>
            <w:tcMar>
              <w:top w:w="0" w:type="dxa"/>
              <w:left w:w="0" w:type="dxa"/>
              <w:bottom w:w="0" w:type="dxa"/>
              <w:right w:w="0" w:type="dxa"/>
            </w:tcMar>
            <w:vAlign w:val="bottom"/>
          </w:tcPr>
          <w:p w14:paraId="2E668EA4" w14:textId="77777777" w:rsidR="002E0961" w:rsidRDefault="002E0961">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2F7B03A5" w14:textId="77777777" w:rsidR="002E0961" w:rsidRDefault="00BD0E60">
            <w:pPr>
              <w:keepNext/>
              <w:spacing w:before="75" w:after="30" w:line="200" w:lineRule="auto"/>
            </w:pPr>
            <w:r>
              <w:rPr>
                <w:color w:val="000000"/>
                <w:sz w:val="20"/>
              </w:rPr>
              <w:t>$</w:t>
            </w:r>
          </w:p>
        </w:tc>
        <w:tc>
          <w:tcPr>
            <w:tcW w:w="1210" w:type="dxa"/>
            <w:tcBorders>
              <w:top w:val="nil"/>
              <w:left w:val="nil"/>
              <w:bottom w:val="nil"/>
              <w:right w:val="nil"/>
            </w:tcBorders>
            <w:shd w:val="clear" w:color="auto" w:fill="CCEEFF"/>
            <w:tcMar>
              <w:top w:w="0" w:type="dxa"/>
              <w:left w:w="0" w:type="dxa"/>
              <w:bottom w:w="0" w:type="dxa"/>
              <w:right w:w="0" w:type="dxa"/>
            </w:tcMar>
            <w:vAlign w:val="bottom"/>
          </w:tcPr>
          <w:p w14:paraId="1D479128" w14:textId="77777777" w:rsidR="002E0961" w:rsidRDefault="00BD0E60">
            <w:pPr>
              <w:keepNext/>
              <w:spacing w:before="75" w:after="30" w:line="200" w:lineRule="auto"/>
              <w:jc w:val="right"/>
            </w:pPr>
            <w:r>
              <w:rPr>
                <w:color w:val="000000"/>
                <w:sz w:val="20"/>
              </w:rPr>
              <w:t>163 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D98788E" w14:textId="77777777" w:rsidR="002E0961" w:rsidRDefault="002E0961">
            <w:pPr>
              <w:keepNext/>
              <w:spacing w:before="75" w:after="30" w:line="200" w:lineRule="auto"/>
            </w:pPr>
          </w:p>
        </w:tc>
        <w:tc>
          <w:tcPr>
            <w:tcW w:w="180" w:type="dxa"/>
            <w:tcBorders>
              <w:top w:val="nil"/>
              <w:left w:val="nil"/>
              <w:bottom w:val="nil"/>
              <w:right w:val="nil"/>
            </w:tcBorders>
            <w:shd w:val="clear" w:color="auto" w:fill="CCEEFF"/>
            <w:tcMar>
              <w:top w:w="0" w:type="dxa"/>
              <w:left w:w="0" w:type="dxa"/>
              <w:bottom w:w="0" w:type="dxa"/>
              <w:right w:w="0" w:type="dxa"/>
            </w:tcMar>
            <w:vAlign w:val="bottom"/>
          </w:tcPr>
          <w:p w14:paraId="3D55D54C" w14:textId="77777777" w:rsidR="002E0961" w:rsidRDefault="002E0961">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20E4AC2A" w14:textId="77777777" w:rsidR="002E0961" w:rsidRDefault="00BD0E60">
            <w:pPr>
              <w:keepNext/>
              <w:spacing w:before="75" w:after="30" w:line="200" w:lineRule="auto"/>
            </w:pPr>
            <w:r>
              <w:rPr>
                <w:color w:val="000000"/>
                <w:sz w:val="20"/>
              </w:rPr>
              <w:t>$</w:t>
            </w:r>
          </w:p>
        </w:tc>
        <w:tc>
          <w:tcPr>
            <w:tcW w:w="1240" w:type="dxa"/>
            <w:tcBorders>
              <w:top w:val="nil"/>
              <w:left w:val="nil"/>
              <w:bottom w:val="nil"/>
              <w:right w:val="nil"/>
            </w:tcBorders>
            <w:shd w:val="clear" w:color="auto" w:fill="CCEEFF"/>
            <w:tcMar>
              <w:top w:w="0" w:type="dxa"/>
              <w:left w:w="0" w:type="dxa"/>
              <w:bottom w:w="0" w:type="dxa"/>
              <w:right w:w="0" w:type="dxa"/>
            </w:tcMar>
            <w:vAlign w:val="bottom"/>
          </w:tcPr>
          <w:p w14:paraId="7FAD7BC7" w14:textId="77777777" w:rsidR="002E0961" w:rsidRDefault="00BD0E60">
            <w:pPr>
              <w:keepNext/>
              <w:spacing w:before="75" w:after="30" w:line="200" w:lineRule="auto"/>
              <w:jc w:val="right"/>
            </w:pPr>
            <w:r>
              <w:rPr>
                <w:color w:val="000000"/>
                <w:sz w:val="20"/>
              </w:rPr>
              <w:t>163 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D728E29" w14:textId="77777777" w:rsidR="002E0961" w:rsidRDefault="002E0961">
            <w:pPr>
              <w:keepNext/>
              <w:spacing w:before="75" w:after="30" w:line="200" w:lineRule="auto"/>
            </w:pPr>
          </w:p>
        </w:tc>
      </w:tr>
      <w:tr w:rsidR="002E0961" w14:paraId="6B65D490" w14:textId="77777777">
        <w:trPr>
          <w:cantSplit/>
          <w:trHeight w:hRule="exact" w:val="300"/>
          <w:jc w:val="center"/>
        </w:trPr>
        <w:tc>
          <w:tcPr>
            <w:tcW w:w="6990" w:type="dxa"/>
            <w:tcBorders>
              <w:top w:val="nil"/>
              <w:left w:val="nil"/>
              <w:bottom w:val="nil"/>
              <w:right w:val="nil"/>
            </w:tcBorders>
            <w:shd w:val="clear" w:color="auto" w:fill="FFFFFF"/>
            <w:tcMar>
              <w:top w:w="0" w:type="dxa"/>
              <w:left w:w="0" w:type="dxa"/>
              <w:bottom w:w="0" w:type="dxa"/>
              <w:right w:w="0" w:type="dxa"/>
            </w:tcMar>
            <w:vAlign w:val="bottom"/>
          </w:tcPr>
          <w:p w14:paraId="0393E41D" w14:textId="77777777" w:rsidR="002E0961" w:rsidRDefault="002E0961">
            <w:pPr>
              <w:keepNext/>
            </w:pPr>
          </w:p>
        </w:tc>
        <w:tc>
          <w:tcPr>
            <w:tcW w:w="270" w:type="dxa"/>
            <w:tcBorders>
              <w:top w:val="nil"/>
              <w:left w:val="nil"/>
              <w:bottom w:val="nil"/>
              <w:right w:val="nil"/>
            </w:tcBorders>
            <w:shd w:val="clear" w:color="auto" w:fill="FFFFFF"/>
            <w:tcMar>
              <w:top w:w="0" w:type="dxa"/>
              <w:left w:w="0" w:type="dxa"/>
              <w:bottom w:w="0" w:type="dxa"/>
              <w:right w:w="0" w:type="dxa"/>
            </w:tcMar>
            <w:vAlign w:val="bottom"/>
          </w:tcPr>
          <w:p w14:paraId="5BA2ED7F" w14:textId="77777777" w:rsidR="002E0961" w:rsidRDefault="002E0961">
            <w:pPr>
              <w:keepNext/>
            </w:pPr>
          </w:p>
        </w:tc>
        <w:tc>
          <w:tcPr>
            <w:tcW w:w="1470" w:type="dxa"/>
            <w:gridSpan w:val="3"/>
            <w:tcBorders>
              <w:top w:val="nil"/>
              <w:left w:val="nil"/>
              <w:bottom w:val="nil"/>
              <w:right w:val="nil"/>
            </w:tcBorders>
            <w:shd w:val="clear" w:color="auto" w:fill="FFFFFF"/>
            <w:tcMar>
              <w:top w:w="0" w:type="dxa"/>
              <w:left w:w="0" w:type="dxa"/>
              <w:bottom w:w="0" w:type="dxa"/>
              <w:right w:w="0" w:type="dxa"/>
            </w:tcMar>
            <w:vAlign w:val="bottom"/>
          </w:tcPr>
          <w:p w14:paraId="147E0D7C" w14:textId="77777777" w:rsidR="002E0961" w:rsidRDefault="002E0961">
            <w:pPr>
              <w:keepNext/>
            </w:pPr>
          </w:p>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42D81A8C" w14:textId="77777777" w:rsidR="002E0961" w:rsidRDefault="002E0961">
            <w:pPr>
              <w:keepNext/>
            </w:pPr>
          </w:p>
        </w:tc>
        <w:tc>
          <w:tcPr>
            <w:tcW w:w="1500" w:type="dxa"/>
            <w:gridSpan w:val="3"/>
            <w:tcBorders>
              <w:top w:val="nil"/>
              <w:left w:val="nil"/>
              <w:bottom w:val="nil"/>
              <w:right w:val="nil"/>
            </w:tcBorders>
            <w:shd w:val="clear" w:color="auto" w:fill="FFFFFF"/>
            <w:tcMar>
              <w:top w:w="0" w:type="dxa"/>
              <w:left w:w="0" w:type="dxa"/>
              <w:bottom w:w="0" w:type="dxa"/>
              <w:right w:w="0" w:type="dxa"/>
            </w:tcMar>
            <w:vAlign w:val="bottom"/>
          </w:tcPr>
          <w:p w14:paraId="777F5827" w14:textId="77777777" w:rsidR="002E0961" w:rsidRDefault="002E0961">
            <w:pPr>
              <w:keepNext/>
            </w:pPr>
          </w:p>
        </w:tc>
      </w:tr>
      <w:tr w:rsidR="002E0961" w14:paraId="7F0C196A" w14:textId="77777777">
        <w:trPr>
          <w:cantSplit/>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3C989704" w14:textId="77777777" w:rsidR="002E0961" w:rsidRDefault="00BD0E60">
            <w:pPr>
              <w:keepNext/>
              <w:spacing w:before="75" w:after="30" w:line="200" w:lineRule="auto"/>
            </w:pPr>
            <w:r>
              <w:rPr>
                <w:color w:val="000000"/>
                <w:sz w:val="20"/>
              </w:rPr>
              <w:t>Distribution declared to limited partner units - common</w:t>
            </w:r>
          </w:p>
        </w:tc>
        <w:tc>
          <w:tcPr>
            <w:tcW w:w="270" w:type="dxa"/>
            <w:tcBorders>
              <w:top w:val="nil"/>
              <w:left w:val="nil"/>
              <w:bottom w:val="nil"/>
              <w:right w:val="nil"/>
            </w:tcBorders>
            <w:shd w:val="clear" w:color="auto" w:fill="CCEEFF"/>
            <w:tcMar>
              <w:top w:w="0" w:type="dxa"/>
              <w:left w:w="0" w:type="dxa"/>
              <w:bottom w:w="0" w:type="dxa"/>
              <w:right w:w="0" w:type="dxa"/>
            </w:tcMar>
            <w:vAlign w:val="bottom"/>
          </w:tcPr>
          <w:p w14:paraId="44E65449" w14:textId="77777777" w:rsidR="002E0961" w:rsidRDefault="002E0961">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533C5A92" w14:textId="77777777" w:rsidR="002E0961" w:rsidRDefault="00BD0E60">
            <w:pPr>
              <w:keepNext/>
              <w:spacing w:before="75" w:after="30" w:line="200" w:lineRule="auto"/>
            </w:pPr>
            <w:r>
              <w:rPr>
                <w:color w:val="000000"/>
                <w:sz w:val="20"/>
              </w:rPr>
              <w:t>$</w:t>
            </w:r>
          </w:p>
        </w:tc>
        <w:tc>
          <w:tcPr>
            <w:tcW w:w="1210" w:type="dxa"/>
            <w:tcBorders>
              <w:top w:val="nil"/>
              <w:left w:val="nil"/>
              <w:bottom w:val="nil"/>
              <w:right w:val="nil"/>
            </w:tcBorders>
            <w:shd w:val="clear" w:color="auto" w:fill="CCEEFF"/>
            <w:tcMar>
              <w:top w:w="0" w:type="dxa"/>
              <w:left w:w="0" w:type="dxa"/>
              <w:bottom w:w="0" w:type="dxa"/>
              <w:right w:w="0" w:type="dxa"/>
            </w:tcMar>
            <w:vAlign w:val="bottom"/>
          </w:tcPr>
          <w:p w14:paraId="4D6B7C03" w14:textId="77777777" w:rsidR="002E0961" w:rsidRDefault="00BD0E60">
            <w:pPr>
              <w:keepNext/>
              <w:spacing w:before="75" w:after="30" w:line="200" w:lineRule="auto"/>
              <w:jc w:val="right"/>
            </w:pPr>
            <w:r>
              <w:rPr>
                <w:color w:val="000000"/>
                <w:sz w:val="20"/>
              </w:rPr>
              <w:t>161 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F816B4A" w14:textId="77777777" w:rsidR="002E0961" w:rsidRDefault="002E0961">
            <w:pPr>
              <w:keepNext/>
              <w:spacing w:before="75" w:after="30" w:line="200" w:lineRule="auto"/>
            </w:pPr>
          </w:p>
        </w:tc>
        <w:tc>
          <w:tcPr>
            <w:tcW w:w="180" w:type="dxa"/>
            <w:tcBorders>
              <w:top w:val="nil"/>
              <w:left w:val="nil"/>
              <w:bottom w:val="nil"/>
              <w:right w:val="nil"/>
            </w:tcBorders>
            <w:shd w:val="clear" w:color="auto" w:fill="CCEEFF"/>
            <w:tcMar>
              <w:top w:w="0" w:type="dxa"/>
              <w:left w:w="0" w:type="dxa"/>
              <w:bottom w:w="0" w:type="dxa"/>
              <w:right w:w="0" w:type="dxa"/>
            </w:tcMar>
            <w:vAlign w:val="bottom"/>
          </w:tcPr>
          <w:p w14:paraId="12FDB473" w14:textId="77777777" w:rsidR="002E0961" w:rsidRDefault="002E0961">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2A006CF5" w14:textId="77777777" w:rsidR="002E0961" w:rsidRDefault="00BD0E60">
            <w:pPr>
              <w:keepNext/>
              <w:spacing w:before="75" w:after="30" w:line="200" w:lineRule="auto"/>
            </w:pPr>
            <w:r>
              <w:rPr>
                <w:color w:val="000000"/>
                <w:sz w:val="20"/>
              </w:rPr>
              <w:t>$</w:t>
            </w:r>
          </w:p>
        </w:tc>
        <w:tc>
          <w:tcPr>
            <w:tcW w:w="1240" w:type="dxa"/>
            <w:tcBorders>
              <w:top w:val="nil"/>
              <w:left w:val="nil"/>
              <w:bottom w:val="nil"/>
              <w:right w:val="nil"/>
            </w:tcBorders>
            <w:shd w:val="clear" w:color="auto" w:fill="CCEEFF"/>
            <w:tcMar>
              <w:top w:w="0" w:type="dxa"/>
              <w:left w:w="0" w:type="dxa"/>
              <w:bottom w:w="0" w:type="dxa"/>
              <w:right w:w="0" w:type="dxa"/>
            </w:tcMar>
            <w:vAlign w:val="bottom"/>
          </w:tcPr>
          <w:p w14:paraId="6D60A9ED" w14:textId="77777777" w:rsidR="002E0961" w:rsidRDefault="00BD0E60">
            <w:pPr>
              <w:keepNext/>
              <w:spacing w:before="75" w:after="30" w:line="200" w:lineRule="auto"/>
              <w:jc w:val="right"/>
            </w:pPr>
            <w:r>
              <w:rPr>
                <w:color w:val="000000"/>
                <w:sz w:val="20"/>
              </w:rPr>
              <w:t>161 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063C868" w14:textId="77777777" w:rsidR="002E0961" w:rsidRDefault="002E0961">
            <w:pPr>
              <w:keepNext/>
              <w:spacing w:before="75" w:after="30" w:line="200" w:lineRule="auto"/>
            </w:pPr>
          </w:p>
        </w:tc>
      </w:tr>
      <w:tr w:rsidR="002E0961" w14:paraId="78041916" w14:textId="77777777">
        <w:trPr>
          <w:cantSplit/>
          <w:trHeight w:hRule="exact" w:val="300"/>
          <w:jc w:val="center"/>
        </w:trPr>
        <w:tc>
          <w:tcPr>
            <w:tcW w:w="6990" w:type="dxa"/>
            <w:tcBorders>
              <w:top w:val="nil"/>
              <w:left w:val="nil"/>
              <w:bottom w:val="nil"/>
              <w:right w:val="nil"/>
            </w:tcBorders>
            <w:shd w:val="clear" w:color="auto" w:fill="FFFFFF"/>
            <w:tcMar>
              <w:top w:w="0" w:type="dxa"/>
              <w:left w:w="0" w:type="dxa"/>
              <w:bottom w:w="0" w:type="dxa"/>
              <w:right w:w="0" w:type="dxa"/>
            </w:tcMar>
            <w:vAlign w:val="bottom"/>
          </w:tcPr>
          <w:p w14:paraId="0E37FD55" w14:textId="77777777" w:rsidR="002E0961" w:rsidRDefault="002E0961">
            <w:pPr>
              <w:keepNext/>
            </w:pPr>
          </w:p>
        </w:tc>
        <w:tc>
          <w:tcPr>
            <w:tcW w:w="270" w:type="dxa"/>
            <w:tcBorders>
              <w:top w:val="nil"/>
              <w:left w:val="nil"/>
              <w:bottom w:val="nil"/>
              <w:right w:val="nil"/>
            </w:tcBorders>
            <w:shd w:val="clear" w:color="auto" w:fill="FFFFFF"/>
            <w:tcMar>
              <w:top w:w="0" w:type="dxa"/>
              <w:left w:w="0" w:type="dxa"/>
              <w:bottom w:w="0" w:type="dxa"/>
              <w:right w:w="0" w:type="dxa"/>
            </w:tcMar>
            <w:vAlign w:val="bottom"/>
          </w:tcPr>
          <w:p w14:paraId="14FE693E" w14:textId="77777777" w:rsidR="002E0961" w:rsidRDefault="002E0961">
            <w:pPr>
              <w:keepNext/>
            </w:pPr>
          </w:p>
        </w:tc>
        <w:tc>
          <w:tcPr>
            <w:tcW w:w="1470" w:type="dxa"/>
            <w:gridSpan w:val="3"/>
            <w:tcBorders>
              <w:top w:val="nil"/>
              <w:left w:val="nil"/>
              <w:bottom w:val="nil"/>
              <w:right w:val="nil"/>
            </w:tcBorders>
            <w:shd w:val="clear" w:color="auto" w:fill="FFFFFF"/>
            <w:tcMar>
              <w:top w:w="0" w:type="dxa"/>
              <w:left w:w="0" w:type="dxa"/>
              <w:bottom w:w="0" w:type="dxa"/>
              <w:right w:w="0" w:type="dxa"/>
            </w:tcMar>
            <w:vAlign w:val="bottom"/>
          </w:tcPr>
          <w:p w14:paraId="7F182E4F" w14:textId="77777777" w:rsidR="002E0961" w:rsidRDefault="002E0961">
            <w:pPr>
              <w:keepNext/>
            </w:pPr>
          </w:p>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5DB59524" w14:textId="77777777" w:rsidR="002E0961" w:rsidRDefault="002E0961">
            <w:pPr>
              <w:keepNext/>
            </w:pPr>
          </w:p>
        </w:tc>
        <w:tc>
          <w:tcPr>
            <w:tcW w:w="1500" w:type="dxa"/>
            <w:gridSpan w:val="3"/>
            <w:tcBorders>
              <w:top w:val="nil"/>
              <w:left w:val="nil"/>
              <w:bottom w:val="nil"/>
              <w:right w:val="nil"/>
            </w:tcBorders>
            <w:shd w:val="clear" w:color="auto" w:fill="FFFFFF"/>
            <w:tcMar>
              <w:top w:w="0" w:type="dxa"/>
              <w:left w:w="0" w:type="dxa"/>
              <w:bottom w:w="0" w:type="dxa"/>
              <w:right w:w="0" w:type="dxa"/>
            </w:tcMar>
            <w:vAlign w:val="bottom"/>
          </w:tcPr>
          <w:p w14:paraId="1A277D71" w14:textId="77777777" w:rsidR="002E0961" w:rsidRDefault="002E0961">
            <w:pPr>
              <w:keepNext/>
            </w:pPr>
          </w:p>
        </w:tc>
      </w:tr>
      <w:tr w:rsidR="002E0961" w14:paraId="4A176F29" w14:textId="77777777">
        <w:trPr>
          <w:cantSplit/>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5043544E" w14:textId="77777777" w:rsidR="002E0961" w:rsidRDefault="00BD0E60">
            <w:pPr>
              <w:spacing w:before="75" w:after="30" w:line="209" w:lineRule="auto"/>
              <w:rPr>
                <w:sz w:val="20"/>
              </w:rPr>
            </w:pPr>
            <w:r>
              <w:rPr>
                <w:sz w:val="20"/>
              </w:rPr>
              <w:t>Coverage Ratio</w:t>
            </w:r>
            <w:r>
              <w:rPr>
                <w:sz w:val="20"/>
                <w:vertAlign w:val="superscript"/>
              </w:rPr>
              <w:t xml:space="preserve"> (2)</w:t>
            </w:r>
          </w:p>
        </w:tc>
        <w:tc>
          <w:tcPr>
            <w:tcW w:w="270" w:type="dxa"/>
            <w:tcBorders>
              <w:top w:val="nil"/>
              <w:left w:val="nil"/>
              <w:bottom w:val="nil"/>
              <w:right w:val="nil"/>
            </w:tcBorders>
            <w:shd w:val="clear" w:color="auto" w:fill="CCEEFF"/>
            <w:tcMar>
              <w:top w:w="0" w:type="dxa"/>
              <w:left w:w="0" w:type="dxa"/>
              <w:bottom w:w="0" w:type="dxa"/>
              <w:right w:w="0" w:type="dxa"/>
            </w:tcMar>
            <w:vAlign w:val="bottom"/>
          </w:tcPr>
          <w:p w14:paraId="42062328" w14:textId="77777777" w:rsidR="002E0961" w:rsidRDefault="002E0961"/>
        </w:tc>
        <w:tc>
          <w:tcPr>
            <w:tcW w:w="1370" w:type="dxa"/>
            <w:gridSpan w:val="2"/>
            <w:tcBorders>
              <w:top w:val="nil"/>
              <w:left w:val="nil"/>
              <w:bottom w:val="nil"/>
              <w:right w:val="nil"/>
            </w:tcBorders>
            <w:shd w:val="clear" w:color="auto" w:fill="CCEEFF"/>
            <w:tcMar>
              <w:top w:w="0" w:type="dxa"/>
              <w:left w:w="53" w:type="dxa"/>
              <w:bottom w:w="0" w:type="dxa"/>
              <w:right w:w="0" w:type="dxa"/>
            </w:tcMar>
            <w:vAlign w:val="bottom"/>
          </w:tcPr>
          <w:p w14:paraId="007F81D0" w14:textId="77777777" w:rsidR="002E0961" w:rsidRDefault="00BD0E60">
            <w:pPr>
              <w:spacing w:before="75" w:after="30" w:line="200" w:lineRule="auto"/>
              <w:jc w:val="right"/>
            </w:pPr>
            <w:r>
              <w:rPr>
                <w:color w:val="000000"/>
                <w:sz w:val="20"/>
              </w:rPr>
              <w:t>1.0 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6A3B898" w14:textId="77777777" w:rsidR="002E0961" w:rsidRDefault="002E0961">
            <w:pPr>
              <w:spacing w:before="75" w:after="30" w:line="200" w:lineRule="auto"/>
            </w:pPr>
          </w:p>
        </w:tc>
        <w:tc>
          <w:tcPr>
            <w:tcW w:w="180" w:type="dxa"/>
            <w:tcBorders>
              <w:top w:val="nil"/>
              <w:left w:val="nil"/>
              <w:bottom w:val="nil"/>
              <w:right w:val="nil"/>
            </w:tcBorders>
            <w:shd w:val="clear" w:color="auto" w:fill="CCEEFF"/>
            <w:tcMar>
              <w:top w:w="0" w:type="dxa"/>
              <w:left w:w="0" w:type="dxa"/>
              <w:bottom w:w="0" w:type="dxa"/>
              <w:right w:w="0" w:type="dxa"/>
            </w:tcMar>
            <w:vAlign w:val="bottom"/>
          </w:tcPr>
          <w:p w14:paraId="41ED6341" w14:textId="77777777" w:rsidR="002E0961" w:rsidRDefault="002E0961"/>
        </w:tc>
        <w:tc>
          <w:tcPr>
            <w:tcW w:w="1400" w:type="dxa"/>
            <w:gridSpan w:val="2"/>
            <w:tcBorders>
              <w:top w:val="nil"/>
              <w:left w:val="nil"/>
              <w:bottom w:val="nil"/>
              <w:right w:val="nil"/>
            </w:tcBorders>
            <w:shd w:val="clear" w:color="auto" w:fill="CCEEFF"/>
            <w:tcMar>
              <w:top w:w="0" w:type="dxa"/>
              <w:left w:w="53" w:type="dxa"/>
              <w:bottom w:w="0" w:type="dxa"/>
              <w:right w:w="0" w:type="dxa"/>
            </w:tcMar>
            <w:vAlign w:val="bottom"/>
          </w:tcPr>
          <w:p w14:paraId="4B059738" w14:textId="77777777" w:rsidR="002E0961" w:rsidRDefault="00BD0E60">
            <w:pPr>
              <w:spacing w:before="75" w:after="30" w:line="200" w:lineRule="auto"/>
              <w:jc w:val="right"/>
            </w:pPr>
            <w:r>
              <w:rPr>
                <w:color w:val="000000"/>
                <w:sz w:val="20"/>
              </w:rPr>
              <w:t>1.0 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0871AAF" w14:textId="77777777" w:rsidR="002E0961" w:rsidRDefault="002E0961">
            <w:pPr>
              <w:spacing w:before="75" w:after="30" w:line="200" w:lineRule="auto"/>
            </w:pPr>
          </w:p>
        </w:tc>
      </w:tr>
    </w:tbl>
    <w:p w14:paraId="00104B98" w14:textId="77777777" w:rsidR="002E0961" w:rsidRDefault="00BD0E60">
      <w:pPr>
        <w:spacing w:before="120" w:line="248" w:lineRule="auto"/>
        <w:rPr>
          <w:sz w:val="18"/>
          <w:vertAlign w:val="superscript"/>
        </w:rPr>
      </w:pPr>
      <w:r>
        <w:rPr>
          <w:i/>
          <w:sz w:val="18"/>
          <w:vertAlign w:val="superscript"/>
        </w:rPr>
        <w:t>(1)</w:t>
      </w:r>
      <w:r>
        <w:rPr>
          <w:i/>
          <w:sz w:val="18"/>
        </w:rPr>
        <w:t xml:space="preserve"> Non-GAAP measures. See reconciliation tables earlier in this press release. </w:t>
      </w:r>
    </w:p>
    <w:p w14:paraId="0C30B594" w14:textId="77777777" w:rsidR="002E0961" w:rsidRDefault="00BD0E60">
      <w:pPr>
        <w:spacing w:line="248" w:lineRule="auto"/>
        <w:rPr>
          <w:i/>
          <w:sz w:val="18"/>
          <w:vertAlign w:val="superscript"/>
        </w:rPr>
      </w:pPr>
      <w:r>
        <w:rPr>
          <w:i/>
          <w:sz w:val="18"/>
          <w:vertAlign w:val="superscript"/>
        </w:rPr>
        <w:t>(2)</w:t>
      </w:r>
      <w:r>
        <w:rPr>
          <w:i/>
          <w:sz w:val="18"/>
        </w:rPr>
        <w:t xml:space="preserve"> Coverage ratio is equal to Cash available for distribution attributable to the Partnership divided by Total distribution declared.</w:t>
      </w:r>
    </w:p>
    <w:p w14:paraId="43B29A73" w14:textId="77777777" w:rsidR="002E0961" w:rsidRDefault="002E0961">
      <w:pPr>
        <w:spacing w:line="238" w:lineRule="auto"/>
        <w:rPr>
          <w:i/>
          <w:sz w:val="18"/>
          <w:vertAlign w:val="superscript"/>
        </w:rPr>
      </w:pPr>
    </w:p>
    <w:p w14:paraId="35DC114D" w14:textId="77777777" w:rsidR="002E0961" w:rsidRDefault="002E0961">
      <w:pPr>
        <w:spacing w:line="248" w:lineRule="auto"/>
        <w:rPr>
          <w:i/>
          <w:sz w:val="20"/>
        </w:rPr>
      </w:pPr>
    </w:p>
    <w:p w14:paraId="56909156" w14:textId="77777777" w:rsidR="002E0961" w:rsidRDefault="002E0961">
      <w:pPr>
        <w:spacing w:line="248" w:lineRule="auto"/>
        <w:rPr>
          <w:i/>
          <w:sz w:val="20"/>
        </w:rPr>
      </w:pP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0"/>
        <w:gridCol w:w="245"/>
        <w:gridCol w:w="163"/>
        <w:gridCol w:w="1326"/>
        <w:gridCol w:w="102"/>
        <w:gridCol w:w="77"/>
        <w:gridCol w:w="163"/>
        <w:gridCol w:w="1204"/>
        <w:gridCol w:w="102"/>
      </w:tblGrid>
      <w:tr w:rsidR="002E0961" w14:paraId="275CB56C" w14:textId="77777777">
        <w:trPr>
          <w:cantSplit/>
          <w:trHeight w:hRule="exact" w:val="300"/>
          <w:jc w:val="center"/>
        </w:trPr>
        <w:tc>
          <w:tcPr>
            <w:tcW w:w="8835" w:type="dxa"/>
            <w:gridSpan w:val="9"/>
            <w:tcBorders>
              <w:top w:val="nil"/>
              <w:left w:val="nil"/>
              <w:bottom w:val="nil"/>
              <w:right w:val="nil"/>
            </w:tcBorders>
            <w:tcMar>
              <w:top w:w="0" w:type="dxa"/>
              <w:left w:w="53" w:type="dxa"/>
              <w:bottom w:w="0" w:type="dxa"/>
              <w:right w:w="53" w:type="dxa"/>
            </w:tcMar>
            <w:vAlign w:val="bottom"/>
          </w:tcPr>
          <w:p w14:paraId="03246C55" w14:textId="77777777" w:rsidR="002E0961" w:rsidRDefault="00BD0E60">
            <w:pPr>
              <w:keepNext/>
              <w:spacing w:before="75" w:after="30" w:line="200" w:lineRule="auto"/>
            </w:pPr>
            <w:r>
              <w:rPr>
                <w:b/>
                <w:color w:val="000000"/>
                <w:sz w:val="22"/>
              </w:rPr>
              <w:t>Capital Expenditures and Investments</w:t>
            </w:r>
          </w:p>
        </w:tc>
      </w:tr>
      <w:tr w:rsidR="002E0961" w14:paraId="2DAC6A13" w14:textId="77777777">
        <w:trPr>
          <w:cantSplit/>
          <w:trHeight w:hRule="exact" w:val="300"/>
          <w:jc w:val="center"/>
        </w:trPr>
        <w:tc>
          <w:tcPr>
            <w:tcW w:w="5520" w:type="dxa"/>
            <w:tcBorders>
              <w:top w:val="nil"/>
              <w:left w:val="nil"/>
              <w:bottom w:val="nil"/>
              <w:right w:val="nil"/>
            </w:tcBorders>
            <w:tcMar>
              <w:top w:w="0" w:type="dxa"/>
              <w:left w:w="0" w:type="dxa"/>
              <w:bottom w:w="0" w:type="dxa"/>
              <w:right w:w="0" w:type="dxa"/>
            </w:tcMar>
            <w:vAlign w:val="bottom"/>
          </w:tcPr>
          <w:p w14:paraId="2AA8C116" w14:textId="77777777" w:rsidR="002E0961" w:rsidRDefault="002E0961">
            <w:pPr>
              <w:keepNext/>
            </w:pPr>
          </w:p>
        </w:tc>
        <w:tc>
          <w:tcPr>
            <w:tcW w:w="240" w:type="dxa"/>
            <w:tcBorders>
              <w:top w:val="nil"/>
              <w:left w:val="nil"/>
              <w:bottom w:val="nil"/>
              <w:right w:val="nil"/>
            </w:tcBorders>
            <w:tcMar>
              <w:top w:w="0" w:type="dxa"/>
              <w:left w:w="0" w:type="dxa"/>
              <w:bottom w:w="0" w:type="dxa"/>
              <w:right w:w="0" w:type="dxa"/>
            </w:tcMar>
            <w:vAlign w:val="bottom"/>
          </w:tcPr>
          <w:p w14:paraId="27043319" w14:textId="77777777" w:rsidR="002E0961" w:rsidRDefault="002E0961">
            <w:pPr>
              <w:keepNext/>
            </w:pPr>
          </w:p>
        </w:tc>
        <w:tc>
          <w:tcPr>
            <w:tcW w:w="3075" w:type="dxa"/>
            <w:gridSpan w:val="7"/>
            <w:tcBorders>
              <w:top w:val="nil"/>
              <w:left w:val="nil"/>
              <w:bottom w:val="nil"/>
              <w:right w:val="nil"/>
            </w:tcBorders>
            <w:tcMar>
              <w:top w:w="0" w:type="dxa"/>
              <w:left w:w="53" w:type="dxa"/>
              <w:bottom w:w="0" w:type="dxa"/>
              <w:right w:w="53" w:type="dxa"/>
            </w:tcMar>
            <w:vAlign w:val="bottom"/>
          </w:tcPr>
          <w:p w14:paraId="67291235" w14:textId="77777777" w:rsidR="002E0961" w:rsidRDefault="00BD0E60">
            <w:pPr>
              <w:keepNext/>
              <w:spacing w:before="75" w:after="30" w:line="200" w:lineRule="auto"/>
              <w:jc w:val="center"/>
            </w:pPr>
            <w:r>
              <w:rPr>
                <w:b/>
                <w:color w:val="000000"/>
                <w:sz w:val="16"/>
              </w:rPr>
              <w:t>For the Three Months Ended</w:t>
            </w:r>
          </w:p>
        </w:tc>
      </w:tr>
      <w:tr w:rsidR="002E0961" w14:paraId="1AF502FD" w14:textId="77777777">
        <w:trPr>
          <w:cantSplit/>
          <w:trHeight w:hRule="exact" w:val="255"/>
          <w:jc w:val="center"/>
        </w:trPr>
        <w:tc>
          <w:tcPr>
            <w:tcW w:w="5520" w:type="dxa"/>
            <w:tcBorders>
              <w:top w:val="nil"/>
              <w:left w:val="nil"/>
              <w:bottom w:val="nil"/>
              <w:right w:val="nil"/>
            </w:tcBorders>
            <w:tcMar>
              <w:top w:w="0" w:type="dxa"/>
              <w:left w:w="53" w:type="dxa"/>
              <w:bottom w:w="0" w:type="dxa"/>
              <w:right w:w="53" w:type="dxa"/>
            </w:tcMar>
            <w:vAlign w:val="bottom"/>
          </w:tcPr>
          <w:p w14:paraId="4A6E272E" w14:textId="77777777" w:rsidR="002E0961" w:rsidRDefault="00BD0E60">
            <w:pPr>
              <w:keepNext/>
              <w:spacing w:before="75" w:after="30" w:line="200" w:lineRule="auto"/>
            </w:pPr>
            <w:r>
              <w:rPr>
                <w:b/>
                <w:color w:val="000000"/>
                <w:sz w:val="16"/>
              </w:rPr>
              <w:t>(in millions of dollars)</w:t>
            </w:r>
          </w:p>
        </w:tc>
        <w:tc>
          <w:tcPr>
            <w:tcW w:w="240" w:type="dxa"/>
            <w:tcBorders>
              <w:top w:val="nil"/>
              <w:left w:val="nil"/>
              <w:bottom w:val="nil"/>
              <w:right w:val="nil"/>
            </w:tcBorders>
            <w:tcMar>
              <w:top w:w="0" w:type="dxa"/>
              <w:left w:w="0" w:type="dxa"/>
              <w:bottom w:w="0" w:type="dxa"/>
              <w:right w:w="0" w:type="dxa"/>
            </w:tcMar>
            <w:vAlign w:val="bottom"/>
          </w:tcPr>
          <w:p w14:paraId="7EE1E61A" w14:textId="77777777" w:rsidR="002E0961" w:rsidRDefault="002E0961">
            <w:pPr>
              <w:keepNext/>
            </w:pPr>
          </w:p>
        </w:tc>
        <w:tc>
          <w:tcPr>
            <w:tcW w:w="156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3B455DD8" w14:textId="77777777" w:rsidR="002E0961" w:rsidRDefault="00BD0E60">
            <w:pPr>
              <w:keepNext/>
              <w:spacing w:before="55" w:after="30" w:line="200" w:lineRule="auto"/>
              <w:jc w:val="center"/>
            </w:pPr>
            <w:r>
              <w:rPr>
                <w:b/>
                <w:color w:val="000000"/>
                <w:sz w:val="16"/>
              </w:rPr>
              <w:t>September 30, 2020</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6F2DFE9C" w14:textId="77777777" w:rsidR="002E0961" w:rsidRDefault="002E0961">
            <w:pPr>
              <w:keepNext/>
            </w:pPr>
          </w:p>
        </w:tc>
        <w:tc>
          <w:tcPr>
            <w:tcW w:w="144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528D8A07" w14:textId="77777777" w:rsidR="002E0961" w:rsidRDefault="00BD0E60">
            <w:pPr>
              <w:keepNext/>
              <w:spacing w:before="55" w:after="30" w:line="200" w:lineRule="auto"/>
              <w:jc w:val="center"/>
            </w:pPr>
            <w:r>
              <w:rPr>
                <w:b/>
                <w:color w:val="000000"/>
                <w:sz w:val="16"/>
              </w:rPr>
              <w:t>June 30, 2020</w:t>
            </w:r>
          </w:p>
        </w:tc>
      </w:tr>
      <w:tr w:rsidR="002E0961" w14:paraId="072408CC" w14:textId="77777777">
        <w:trPr>
          <w:cantSplit/>
          <w:trHeight w:hRule="exact" w:val="300"/>
          <w:jc w:val="center"/>
        </w:trPr>
        <w:tc>
          <w:tcPr>
            <w:tcW w:w="5520" w:type="dxa"/>
            <w:tcBorders>
              <w:top w:val="nil"/>
              <w:left w:val="nil"/>
              <w:bottom w:val="nil"/>
              <w:right w:val="nil"/>
            </w:tcBorders>
            <w:shd w:val="clear" w:color="auto" w:fill="CCEEFF"/>
            <w:tcMar>
              <w:top w:w="0" w:type="dxa"/>
              <w:left w:w="53" w:type="dxa"/>
              <w:bottom w:w="0" w:type="dxa"/>
              <w:right w:w="53" w:type="dxa"/>
            </w:tcMar>
            <w:vAlign w:val="bottom"/>
          </w:tcPr>
          <w:p w14:paraId="44807296" w14:textId="77777777" w:rsidR="002E0961" w:rsidRDefault="00BD0E60">
            <w:pPr>
              <w:keepNext/>
              <w:spacing w:before="75" w:after="30" w:line="200" w:lineRule="auto"/>
            </w:pPr>
            <w:r>
              <w:rPr>
                <w:color w:val="000000"/>
                <w:sz w:val="20"/>
              </w:rPr>
              <w:t>Expansion capital expenditures</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0EB8B3B2" w14:textId="77777777" w:rsidR="002E0961" w:rsidRDefault="002E0961">
            <w:pPr>
              <w:keepNext/>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5ED266EA" w14:textId="77777777" w:rsidR="002E0961" w:rsidRDefault="00BD0E60">
            <w:pPr>
              <w:keepNext/>
              <w:spacing w:before="55" w:after="30" w:line="200" w:lineRule="auto"/>
            </w:pPr>
            <w:r>
              <w:rPr>
                <w:color w:val="000000"/>
                <w:sz w:val="20"/>
              </w:rPr>
              <w:t>$</w:t>
            </w:r>
          </w:p>
        </w:tc>
        <w:tc>
          <w:tcPr>
            <w:tcW w:w="13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8C30223" w14:textId="77777777" w:rsidR="002E0961" w:rsidRDefault="00BD0E60">
            <w:pPr>
              <w:keepNext/>
              <w:spacing w:before="55" w:after="30" w:line="200" w:lineRule="auto"/>
              <w:jc w:val="right"/>
            </w:pPr>
            <w:r>
              <w:rPr>
                <w:color w:val="000000"/>
                <w:sz w:val="20"/>
              </w:rPr>
              <w:t>—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C35DE77" w14:textId="77777777" w:rsidR="002E0961" w:rsidRDefault="002E0961">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9A46EB2" w14:textId="77777777" w:rsidR="002E0961" w:rsidRDefault="002E0961">
            <w:pPr>
              <w:keepNext/>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7437790E" w14:textId="77777777" w:rsidR="002E0961" w:rsidRDefault="00BD0E60">
            <w:pPr>
              <w:keepNext/>
              <w:spacing w:before="55" w:after="30" w:line="200" w:lineRule="auto"/>
            </w:pPr>
            <w:r>
              <w:rPr>
                <w:color w:val="000000"/>
                <w:sz w:val="20"/>
              </w:rPr>
              <w:t>$</w:t>
            </w:r>
          </w:p>
        </w:tc>
        <w:tc>
          <w:tcPr>
            <w:tcW w:w="11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F2BF87D" w14:textId="77777777" w:rsidR="002E0961" w:rsidRDefault="00BD0E60">
            <w:pPr>
              <w:keepNext/>
              <w:spacing w:before="55" w:after="30" w:line="200" w:lineRule="auto"/>
              <w:jc w:val="right"/>
            </w:pPr>
            <w:r>
              <w:rPr>
                <w:color w:val="000000"/>
                <w:sz w:val="20"/>
              </w:rPr>
              <w:t>1 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4E88431" w14:textId="77777777" w:rsidR="002E0961" w:rsidRDefault="002E0961">
            <w:pPr>
              <w:keepNext/>
              <w:spacing w:before="55" w:after="30" w:line="200" w:lineRule="auto"/>
            </w:pPr>
          </w:p>
        </w:tc>
      </w:tr>
      <w:tr w:rsidR="002E0961" w14:paraId="2EB642B3" w14:textId="77777777">
        <w:trPr>
          <w:cantSplit/>
          <w:trHeight w:hRule="exact" w:val="300"/>
          <w:jc w:val="center"/>
        </w:trPr>
        <w:tc>
          <w:tcPr>
            <w:tcW w:w="5520" w:type="dxa"/>
            <w:tcBorders>
              <w:top w:val="nil"/>
              <w:left w:val="nil"/>
              <w:bottom w:val="nil"/>
              <w:right w:val="nil"/>
            </w:tcBorders>
            <w:shd w:val="clear" w:color="auto" w:fill="FFFFFF"/>
            <w:tcMar>
              <w:top w:w="0" w:type="dxa"/>
              <w:left w:w="53" w:type="dxa"/>
              <w:bottom w:w="0" w:type="dxa"/>
              <w:right w:w="53" w:type="dxa"/>
            </w:tcMar>
            <w:vAlign w:val="bottom"/>
          </w:tcPr>
          <w:p w14:paraId="0C72280B" w14:textId="77777777" w:rsidR="002E0961" w:rsidRDefault="00BD0E60">
            <w:pPr>
              <w:keepNext/>
              <w:spacing w:before="75" w:after="30" w:line="200" w:lineRule="auto"/>
            </w:pPr>
            <w:r>
              <w:rPr>
                <w:color w:val="000000"/>
                <w:sz w:val="20"/>
              </w:rPr>
              <w:t>Maintenance capital expenditures</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1276EEBD" w14:textId="77777777" w:rsidR="002E0961" w:rsidRDefault="002E0961">
            <w:pPr>
              <w:keepNext/>
            </w:pPr>
          </w:p>
        </w:tc>
        <w:tc>
          <w:tcPr>
            <w:tcW w:w="1460"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77B179BC" w14:textId="77777777" w:rsidR="002E0961" w:rsidRDefault="00BD0E60">
            <w:pPr>
              <w:keepNext/>
              <w:spacing w:before="75" w:after="30" w:line="200" w:lineRule="auto"/>
              <w:jc w:val="right"/>
            </w:pPr>
            <w:r>
              <w:rPr>
                <w:color w:val="000000"/>
                <w:sz w:val="20"/>
              </w:rPr>
              <w:t>8 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E982086"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D249F00" w14:textId="77777777" w:rsidR="002E0961" w:rsidRDefault="002E0961">
            <w:pPr>
              <w:keepNext/>
            </w:pPr>
          </w:p>
        </w:tc>
        <w:tc>
          <w:tcPr>
            <w:tcW w:w="1340"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60F4B99C" w14:textId="77777777" w:rsidR="002E0961" w:rsidRDefault="00BD0E60">
            <w:pPr>
              <w:keepNext/>
              <w:spacing w:before="75" w:after="30" w:line="200" w:lineRule="auto"/>
              <w:jc w:val="right"/>
            </w:pPr>
            <w:r>
              <w:rPr>
                <w:color w:val="000000"/>
                <w:sz w:val="20"/>
              </w:rPr>
              <w:t>1 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781841E" w14:textId="77777777" w:rsidR="002E0961" w:rsidRDefault="002E0961">
            <w:pPr>
              <w:keepNext/>
              <w:spacing w:before="75" w:after="30" w:line="200" w:lineRule="auto"/>
            </w:pPr>
          </w:p>
        </w:tc>
      </w:tr>
      <w:tr w:rsidR="002E0961" w14:paraId="36979489" w14:textId="77777777">
        <w:trPr>
          <w:cantSplit/>
          <w:trHeight w:hRule="exact" w:val="300"/>
          <w:jc w:val="center"/>
        </w:trPr>
        <w:tc>
          <w:tcPr>
            <w:tcW w:w="5520" w:type="dxa"/>
            <w:tcBorders>
              <w:top w:val="nil"/>
              <w:left w:val="nil"/>
              <w:bottom w:val="nil"/>
              <w:right w:val="nil"/>
            </w:tcBorders>
            <w:shd w:val="clear" w:color="auto" w:fill="CCEEFF"/>
            <w:tcMar>
              <w:top w:w="0" w:type="dxa"/>
              <w:left w:w="53" w:type="dxa"/>
              <w:bottom w:w="0" w:type="dxa"/>
              <w:right w:w="53" w:type="dxa"/>
            </w:tcMar>
            <w:vAlign w:val="bottom"/>
          </w:tcPr>
          <w:p w14:paraId="212991AA" w14:textId="77777777" w:rsidR="002E0961" w:rsidRDefault="00BD0E60">
            <w:pPr>
              <w:spacing w:before="75" w:after="30" w:line="200" w:lineRule="auto"/>
            </w:pPr>
            <w:r>
              <w:rPr>
                <w:color w:val="000000"/>
                <w:sz w:val="20"/>
              </w:rPr>
              <w:t>Total capital expenditures paid</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52C5E8EB" w14:textId="77777777" w:rsidR="002E0961" w:rsidRDefault="002E0961"/>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0D856820" w14:textId="77777777" w:rsidR="002E0961" w:rsidRDefault="00BD0E60">
            <w:pPr>
              <w:spacing w:before="55" w:after="30" w:line="200" w:lineRule="auto"/>
            </w:pPr>
            <w:r>
              <w:rPr>
                <w:color w:val="000000"/>
                <w:sz w:val="20"/>
              </w:rPr>
              <w:t>$</w:t>
            </w:r>
          </w:p>
        </w:tc>
        <w:tc>
          <w:tcPr>
            <w:tcW w:w="130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51F8448D" w14:textId="77777777" w:rsidR="002E0961" w:rsidRDefault="00BD0E60">
            <w:pPr>
              <w:spacing w:before="55" w:after="30" w:line="200" w:lineRule="auto"/>
              <w:jc w:val="right"/>
            </w:pPr>
            <w:r>
              <w:rPr>
                <w:color w:val="000000"/>
                <w:sz w:val="20"/>
              </w:rPr>
              <w:t>8 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C6AC684" w14:textId="77777777" w:rsidR="002E0961" w:rsidRDefault="002E0961">
            <w:pPr>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74E8201" w14:textId="77777777" w:rsidR="002E0961" w:rsidRDefault="002E0961"/>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49DE4837" w14:textId="77777777" w:rsidR="002E0961" w:rsidRDefault="00BD0E60">
            <w:pPr>
              <w:spacing w:before="55" w:after="30" w:line="200" w:lineRule="auto"/>
            </w:pPr>
            <w:r>
              <w:rPr>
                <w:color w:val="000000"/>
                <w:sz w:val="20"/>
              </w:rPr>
              <w:t>$</w:t>
            </w:r>
          </w:p>
        </w:tc>
        <w:tc>
          <w:tcPr>
            <w:tcW w:w="118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6F853660" w14:textId="77777777" w:rsidR="002E0961" w:rsidRDefault="00BD0E60">
            <w:pPr>
              <w:spacing w:before="55" w:after="30" w:line="200" w:lineRule="auto"/>
              <w:jc w:val="right"/>
            </w:pPr>
            <w:r>
              <w:rPr>
                <w:color w:val="000000"/>
                <w:sz w:val="20"/>
              </w:rPr>
              <w:t>2 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483FD41" w14:textId="77777777" w:rsidR="002E0961" w:rsidRDefault="002E0961">
            <w:pPr>
              <w:spacing w:before="55" w:after="30" w:line="200" w:lineRule="auto"/>
            </w:pPr>
          </w:p>
        </w:tc>
      </w:tr>
    </w:tbl>
    <w:p w14:paraId="702A1127" w14:textId="77777777" w:rsidR="002E0961" w:rsidRDefault="002E0961">
      <w:pPr>
        <w:spacing w:before="120" w:line="248" w:lineRule="auto"/>
        <w:ind w:left="180" w:firstLine="180"/>
        <w:rPr>
          <w:i/>
          <w:sz w:val="20"/>
          <w:vertAlign w:val="superscript"/>
        </w:rPr>
      </w:pPr>
    </w:p>
    <w:p w14:paraId="18E0E6A7" w14:textId="77777777" w:rsidR="002E0961" w:rsidRDefault="002E0961">
      <w:pPr>
        <w:spacing w:line="248" w:lineRule="auto"/>
        <w:ind w:left="180" w:hanging="180"/>
        <w:rPr>
          <w:i/>
          <w:sz w:val="20"/>
        </w:rPr>
      </w:pPr>
    </w:p>
    <w:p w14:paraId="06FD5449" w14:textId="77777777" w:rsidR="002E0961" w:rsidRDefault="002E0961">
      <w:pPr>
        <w:spacing w:line="248" w:lineRule="auto"/>
        <w:jc w:val="center"/>
        <w:rPr>
          <w:sz w:val="20"/>
        </w:rPr>
      </w:pPr>
    </w:p>
    <w:p w14:paraId="3F97302A" w14:textId="77777777" w:rsidR="002E0961" w:rsidRDefault="002E0961">
      <w:pPr>
        <w:spacing w:line="248" w:lineRule="auto"/>
        <w:jc w:val="center"/>
        <w:rPr>
          <w:sz w:val="20"/>
        </w:rPr>
      </w:pP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245"/>
        <w:gridCol w:w="163"/>
        <w:gridCol w:w="1326"/>
        <w:gridCol w:w="102"/>
        <w:gridCol w:w="92"/>
        <w:gridCol w:w="163"/>
        <w:gridCol w:w="1219"/>
        <w:gridCol w:w="102"/>
      </w:tblGrid>
      <w:tr w:rsidR="002E0961" w14:paraId="22464D2C" w14:textId="77777777">
        <w:trPr>
          <w:cantSplit/>
          <w:trHeight w:hRule="exact" w:val="300"/>
          <w:jc w:val="center"/>
        </w:trPr>
        <w:tc>
          <w:tcPr>
            <w:tcW w:w="8745" w:type="dxa"/>
            <w:gridSpan w:val="9"/>
            <w:tcBorders>
              <w:top w:val="nil"/>
              <w:left w:val="nil"/>
              <w:bottom w:val="nil"/>
              <w:right w:val="nil"/>
            </w:tcBorders>
            <w:tcMar>
              <w:top w:w="0" w:type="dxa"/>
              <w:left w:w="53" w:type="dxa"/>
              <w:bottom w:w="0" w:type="dxa"/>
              <w:right w:w="53" w:type="dxa"/>
            </w:tcMar>
            <w:vAlign w:val="bottom"/>
          </w:tcPr>
          <w:p w14:paraId="261F8537" w14:textId="77777777" w:rsidR="002E0961" w:rsidRDefault="00BD0E60">
            <w:pPr>
              <w:keepNext/>
              <w:spacing w:before="75" w:after="30" w:line="200" w:lineRule="auto"/>
            </w:pPr>
            <w:r>
              <w:rPr>
                <w:b/>
                <w:color w:val="000000"/>
                <w:sz w:val="22"/>
              </w:rPr>
              <w:t>Condensed Consolidated Balance Sheet Information</w:t>
            </w:r>
          </w:p>
        </w:tc>
      </w:tr>
      <w:tr w:rsidR="002E0961" w14:paraId="1E14AB81" w14:textId="77777777">
        <w:trPr>
          <w:cantSplit/>
          <w:trHeight w:hRule="exact" w:val="300"/>
          <w:jc w:val="center"/>
        </w:trPr>
        <w:tc>
          <w:tcPr>
            <w:tcW w:w="5400" w:type="dxa"/>
            <w:tcBorders>
              <w:top w:val="nil"/>
              <w:left w:val="nil"/>
              <w:bottom w:val="nil"/>
              <w:right w:val="nil"/>
            </w:tcBorders>
            <w:tcMar>
              <w:top w:w="0" w:type="dxa"/>
              <w:left w:w="53" w:type="dxa"/>
              <w:bottom w:w="0" w:type="dxa"/>
              <w:right w:w="53" w:type="dxa"/>
            </w:tcMar>
            <w:vAlign w:val="bottom"/>
          </w:tcPr>
          <w:p w14:paraId="7E0B61AE" w14:textId="77777777" w:rsidR="002E0961" w:rsidRDefault="00BD0E60">
            <w:pPr>
              <w:keepNext/>
              <w:spacing w:before="75" w:after="30" w:line="200" w:lineRule="auto"/>
            </w:pPr>
            <w:r>
              <w:rPr>
                <w:b/>
                <w:color w:val="000000"/>
                <w:sz w:val="16"/>
              </w:rPr>
              <w:t>(in millions of dollars)</w:t>
            </w:r>
          </w:p>
        </w:tc>
        <w:tc>
          <w:tcPr>
            <w:tcW w:w="240" w:type="dxa"/>
            <w:tcBorders>
              <w:top w:val="nil"/>
              <w:left w:val="nil"/>
              <w:bottom w:val="nil"/>
              <w:right w:val="nil"/>
            </w:tcBorders>
            <w:tcMar>
              <w:top w:w="0" w:type="dxa"/>
              <w:left w:w="0" w:type="dxa"/>
              <w:bottom w:w="0" w:type="dxa"/>
              <w:right w:w="0" w:type="dxa"/>
            </w:tcMar>
            <w:vAlign w:val="bottom"/>
          </w:tcPr>
          <w:p w14:paraId="15AF421B" w14:textId="77777777" w:rsidR="002E0961" w:rsidRDefault="002E0961">
            <w:pPr>
              <w:keepNext/>
            </w:pPr>
          </w:p>
        </w:tc>
        <w:tc>
          <w:tcPr>
            <w:tcW w:w="1560" w:type="dxa"/>
            <w:gridSpan w:val="3"/>
            <w:tcBorders>
              <w:top w:val="nil"/>
              <w:left w:val="nil"/>
              <w:bottom w:val="single" w:sz="8" w:space="0" w:color="000000"/>
              <w:right w:val="nil"/>
            </w:tcBorders>
            <w:tcMar>
              <w:top w:w="0" w:type="dxa"/>
              <w:left w:w="53" w:type="dxa"/>
              <w:bottom w:w="0" w:type="dxa"/>
              <w:right w:w="53" w:type="dxa"/>
            </w:tcMar>
            <w:vAlign w:val="bottom"/>
          </w:tcPr>
          <w:p w14:paraId="7F87BCE1" w14:textId="77777777" w:rsidR="002E0961" w:rsidRDefault="00BD0E60">
            <w:pPr>
              <w:keepNext/>
              <w:spacing w:before="75" w:after="30" w:line="200" w:lineRule="auto"/>
              <w:jc w:val="center"/>
            </w:pPr>
            <w:r>
              <w:rPr>
                <w:b/>
                <w:color w:val="000000"/>
                <w:sz w:val="16"/>
              </w:rPr>
              <w:t>September 30, 2020</w:t>
            </w:r>
          </w:p>
        </w:tc>
        <w:tc>
          <w:tcPr>
            <w:tcW w:w="90" w:type="dxa"/>
            <w:tcBorders>
              <w:top w:val="nil"/>
              <w:left w:val="nil"/>
              <w:bottom w:val="nil"/>
              <w:right w:val="nil"/>
            </w:tcBorders>
            <w:tcMar>
              <w:top w:w="0" w:type="dxa"/>
              <w:left w:w="0" w:type="dxa"/>
              <w:bottom w:w="0" w:type="dxa"/>
              <w:right w:w="0" w:type="dxa"/>
            </w:tcMar>
            <w:vAlign w:val="bottom"/>
          </w:tcPr>
          <w:p w14:paraId="1565F0FD" w14:textId="77777777" w:rsidR="002E0961" w:rsidRDefault="002E0961">
            <w:pPr>
              <w:keepNext/>
            </w:pPr>
          </w:p>
        </w:tc>
        <w:tc>
          <w:tcPr>
            <w:tcW w:w="1455" w:type="dxa"/>
            <w:gridSpan w:val="3"/>
            <w:tcBorders>
              <w:top w:val="nil"/>
              <w:left w:val="nil"/>
              <w:bottom w:val="single" w:sz="8" w:space="0" w:color="000000"/>
              <w:right w:val="nil"/>
            </w:tcBorders>
            <w:tcMar>
              <w:top w:w="0" w:type="dxa"/>
              <w:left w:w="53" w:type="dxa"/>
              <w:bottom w:w="0" w:type="dxa"/>
              <w:right w:w="53" w:type="dxa"/>
            </w:tcMar>
            <w:vAlign w:val="bottom"/>
          </w:tcPr>
          <w:p w14:paraId="02DAC719" w14:textId="77777777" w:rsidR="002E0961" w:rsidRDefault="00BD0E60">
            <w:pPr>
              <w:keepNext/>
              <w:spacing w:before="75" w:after="30" w:line="200" w:lineRule="auto"/>
              <w:jc w:val="center"/>
            </w:pPr>
            <w:r>
              <w:rPr>
                <w:b/>
                <w:color w:val="000000"/>
                <w:sz w:val="16"/>
              </w:rPr>
              <w:t>June 30, 2020</w:t>
            </w:r>
          </w:p>
        </w:tc>
      </w:tr>
      <w:tr w:rsidR="002E0961" w14:paraId="2FBC1D9C" w14:textId="77777777">
        <w:trPr>
          <w:cantSplit/>
          <w:trHeight w:hRule="exact" w:val="300"/>
          <w:jc w:val="center"/>
        </w:trPr>
        <w:tc>
          <w:tcPr>
            <w:tcW w:w="5400" w:type="dxa"/>
            <w:tcBorders>
              <w:top w:val="nil"/>
              <w:left w:val="nil"/>
              <w:bottom w:val="nil"/>
              <w:right w:val="nil"/>
            </w:tcBorders>
            <w:shd w:val="clear" w:color="auto" w:fill="CCEEFF"/>
            <w:tcMar>
              <w:top w:w="0" w:type="dxa"/>
              <w:left w:w="53" w:type="dxa"/>
              <w:bottom w:w="0" w:type="dxa"/>
              <w:right w:w="53" w:type="dxa"/>
            </w:tcMar>
            <w:vAlign w:val="bottom"/>
          </w:tcPr>
          <w:p w14:paraId="1A0427CB" w14:textId="77777777" w:rsidR="002E0961" w:rsidRDefault="00BD0E60">
            <w:pPr>
              <w:keepNext/>
              <w:spacing w:before="75" w:after="30" w:line="200" w:lineRule="auto"/>
            </w:pPr>
            <w:r>
              <w:rPr>
                <w:color w:val="000000"/>
                <w:sz w:val="20"/>
              </w:rPr>
              <w:t>Cash and cash equivalents</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2C775C81" w14:textId="77777777" w:rsidR="002E0961" w:rsidRDefault="002E0961">
            <w:pPr>
              <w:keepNext/>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7A249ED2" w14:textId="77777777" w:rsidR="002E0961" w:rsidRDefault="00BD0E60">
            <w:pPr>
              <w:keepNext/>
              <w:spacing w:before="55" w:after="30" w:line="200" w:lineRule="auto"/>
            </w:pPr>
            <w:r>
              <w:rPr>
                <w:color w:val="000000"/>
                <w:sz w:val="20"/>
              </w:rPr>
              <w:t>$</w:t>
            </w:r>
          </w:p>
        </w:tc>
        <w:tc>
          <w:tcPr>
            <w:tcW w:w="13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9EDD5F3" w14:textId="77777777" w:rsidR="002E0961" w:rsidRDefault="00BD0E60">
            <w:pPr>
              <w:keepNext/>
              <w:spacing w:before="55" w:after="30" w:line="200" w:lineRule="auto"/>
              <w:jc w:val="right"/>
            </w:pPr>
            <w:r>
              <w:rPr>
                <w:color w:val="000000"/>
                <w:sz w:val="20"/>
              </w:rPr>
              <w:t>329 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435A843" w14:textId="77777777" w:rsidR="002E0961" w:rsidRDefault="002E0961">
            <w:pPr>
              <w:keepNext/>
              <w:spacing w:before="55" w:after="30" w:line="200" w:lineRule="auto"/>
            </w:pPr>
          </w:p>
        </w:tc>
        <w:tc>
          <w:tcPr>
            <w:tcW w:w="90" w:type="dxa"/>
            <w:tcBorders>
              <w:top w:val="nil"/>
              <w:left w:val="nil"/>
              <w:bottom w:val="nil"/>
              <w:right w:val="nil"/>
            </w:tcBorders>
            <w:shd w:val="clear" w:color="auto" w:fill="CCEEFF"/>
            <w:tcMar>
              <w:top w:w="0" w:type="dxa"/>
              <w:left w:w="0" w:type="dxa"/>
              <w:bottom w:w="0" w:type="dxa"/>
              <w:right w:w="0" w:type="dxa"/>
            </w:tcMar>
            <w:vAlign w:val="bottom"/>
          </w:tcPr>
          <w:p w14:paraId="7984FC23" w14:textId="77777777" w:rsidR="002E0961" w:rsidRDefault="002E0961">
            <w:pPr>
              <w:keepNext/>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7DC9B6D5" w14:textId="77777777" w:rsidR="002E0961" w:rsidRDefault="00BD0E60">
            <w:pPr>
              <w:keepNext/>
              <w:spacing w:before="55" w:after="30" w:line="200" w:lineRule="auto"/>
            </w:pPr>
            <w:r>
              <w:rPr>
                <w:color w:val="000000"/>
                <w:sz w:val="20"/>
              </w:rPr>
              <w:t>$</w:t>
            </w:r>
          </w:p>
        </w:tc>
        <w:tc>
          <w:tcPr>
            <w:tcW w:w="11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E780DC7" w14:textId="77777777" w:rsidR="002E0961" w:rsidRDefault="00BD0E60">
            <w:pPr>
              <w:keepNext/>
              <w:spacing w:before="55" w:after="30" w:line="200" w:lineRule="auto"/>
              <w:jc w:val="right"/>
            </w:pPr>
            <w:r>
              <w:rPr>
                <w:color w:val="000000"/>
                <w:sz w:val="20"/>
              </w:rPr>
              <w:t>332 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EB563A3" w14:textId="77777777" w:rsidR="002E0961" w:rsidRDefault="002E0961">
            <w:pPr>
              <w:keepNext/>
              <w:spacing w:before="55" w:after="30" w:line="200" w:lineRule="auto"/>
            </w:pPr>
          </w:p>
        </w:tc>
      </w:tr>
      <w:tr w:rsidR="002E0961" w14:paraId="5786ECD8" w14:textId="77777777">
        <w:trPr>
          <w:cantSplit/>
          <w:trHeight w:hRule="exact" w:val="300"/>
          <w:jc w:val="center"/>
        </w:trPr>
        <w:tc>
          <w:tcPr>
            <w:tcW w:w="5400" w:type="dxa"/>
            <w:tcBorders>
              <w:top w:val="nil"/>
              <w:left w:val="nil"/>
              <w:bottom w:val="nil"/>
              <w:right w:val="nil"/>
            </w:tcBorders>
            <w:shd w:val="clear" w:color="auto" w:fill="FFFFFF"/>
            <w:tcMar>
              <w:top w:w="0" w:type="dxa"/>
              <w:left w:w="53" w:type="dxa"/>
              <w:bottom w:w="0" w:type="dxa"/>
              <w:right w:w="53" w:type="dxa"/>
            </w:tcMar>
            <w:vAlign w:val="bottom"/>
          </w:tcPr>
          <w:p w14:paraId="5EC8C8C1" w14:textId="77777777" w:rsidR="002E0961" w:rsidRDefault="00BD0E60">
            <w:pPr>
              <w:keepNext/>
              <w:spacing w:before="75" w:after="30" w:line="200" w:lineRule="auto"/>
            </w:pPr>
            <w:r>
              <w:rPr>
                <w:color w:val="000000"/>
                <w:sz w:val="20"/>
              </w:rPr>
              <w:t>Equity method investments</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57CA8135" w14:textId="77777777" w:rsidR="002E0961" w:rsidRDefault="002E0961">
            <w:pPr>
              <w:keepNext/>
            </w:pPr>
          </w:p>
        </w:tc>
        <w:tc>
          <w:tcPr>
            <w:tcW w:w="1460" w:type="dxa"/>
            <w:gridSpan w:val="2"/>
            <w:tcBorders>
              <w:top w:val="nil"/>
              <w:left w:val="nil"/>
              <w:bottom w:val="nil"/>
              <w:right w:val="nil"/>
            </w:tcBorders>
            <w:shd w:val="clear" w:color="auto" w:fill="FFFFFF"/>
            <w:tcMar>
              <w:top w:w="0" w:type="dxa"/>
              <w:left w:w="53" w:type="dxa"/>
              <w:bottom w:w="0" w:type="dxa"/>
              <w:right w:w="0" w:type="dxa"/>
            </w:tcMar>
            <w:vAlign w:val="bottom"/>
          </w:tcPr>
          <w:p w14:paraId="0ECBBA14" w14:textId="77777777" w:rsidR="002E0961" w:rsidRDefault="00BD0E60">
            <w:pPr>
              <w:keepNext/>
              <w:spacing w:before="75" w:after="30" w:line="200" w:lineRule="auto"/>
              <w:jc w:val="right"/>
            </w:pPr>
            <w:r>
              <w:rPr>
                <w:color w:val="000000"/>
                <w:sz w:val="20"/>
              </w:rPr>
              <w:t>1,045 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8AE535A" w14:textId="77777777" w:rsidR="002E0961" w:rsidRDefault="002E0961">
            <w:pPr>
              <w:keepNext/>
              <w:spacing w:before="75" w:after="30" w:line="200" w:lineRule="auto"/>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12C0857B" w14:textId="77777777" w:rsidR="002E0961" w:rsidRDefault="002E0961">
            <w:pPr>
              <w:keepNext/>
            </w:pPr>
          </w:p>
        </w:tc>
        <w:tc>
          <w:tcPr>
            <w:tcW w:w="1355" w:type="dxa"/>
            <w:gridSpan w:val="2"/>
            <w:tcBorders>
              <w:top w:val="nil"/>
              <w:left w:val="nil"/>
              <w:bottom w:val="nil"/>
              <w:right w:val="nil"/>
            </w:tcBorders>
            <w:shd w:val="clear" w:color="auto" w:fill="FFFFFF"/>
            <w:tcMar>
              <w:top w:w="0" w:type="dxa"/>
              <w:left w:w="53" w:type="dxa"/>
              <w:bottom w:w="0" w:type="dxa"/>
              <w:right w:w="0" w:type="dxa"/>
            </w:tcMar>
            <w:vAlign w:val="bottom"/>
          </w:tcPr>
          <w:p w14:paraId="7ECD74BB" w14:textId="77777777" w:rsidR="002E0961" w:rsidRDefault="00BD0E60">
            <w:pPr>
              <w:keepNext/>
              <w:spacing w:before="75" w:after="30" w:line="200" w:lineRule="auto"/>
              <w:jc w:val="right"/>
            </w:pPr>
            <w:r>
              <w:rPr>
                <w:color w:val="000000"/>
                <w:sz w:val="20"/>
              </w:rPr>
              <w:t>1,069 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B041ADA" w14:textId="77777777" w:rsidR="002E0961" w:rsidRDefault="002E0961">
            <w:pPr>
              <w:keepNext/>
              <w:spacing w:before="75" w:after="30" w:line="200" w:lineRule="auto"/>
            </w:pPr>
          </w:p>
        </w:tc>
      </w:tr>
      <w:tr w:rsidR="002E0961" w14:paraId="2A88E77D" w14:textId="77777777">
        <w:trPr>
          <w:cantSplit/>
          <w:trHeight w:hRule="exact" w:val="300"/>
          <w:jc w:val="center"/>
        </w:trPr>
        <w:tc>
          <w:tcPr>
            <w:tcW w:w="5400" w:type="dxa"/>
            <w:tcBorders>
              <w:top w:val="nil"/>
              <w:left w:val="nil"/>
              <w:bottom w:val="nil"/>
              <w:right w:val="nil"/>
            </w:tcBorders>
            <w:shd w:val="clear" w:color="auto" w:fill="CCEEFF"/>
            <w:tcMar>
              <w:top w:w="0" w:type="dxa"/>
              <w:left w:w="53" w:type="dxa"/>
              <w:bottom w:w="0" w:type="dxa"/>
              <w:right w:w="53" w:type="dxa"/>
            </w:tcMar>
            <w:vAlign w:val="bottom"/>
          </w:tcPr>
          <w:p w14:paraId="6E38F787" w14:textId="77777777" w:rsidR="002E0961" w:rsidRDefault="00BD0E60">
            <w:pPr>
              <w:keepNext/>
              <w:spacing w:before="75" w:after="30" w:line="200" w:lineRule="auto"/>
            </w:pPr>
            <w:r>
              <w:rPr>
                <w:color w:val="000000"/>
                <w:sz w:val="20"/>
              </w:rPr>
              <w:t>Property, plant &amp; equipment, net</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1A7CE6D0" w14:textId="77777777" w:rsidR="002E0961" w:rsidRDefault="002E0961">
            <w:pPr>
              <w:keepNext/>
            </w:pPr>
          </w:p>
        </w:tc>
        <w:tc>
          <w:tcPr>
            <w:tcW w:w="1460" w:type="dxa"/>
            <w:gridSpan w:val="2"/>
            <w:tcBorders>
              <w:top w:val="nil"/>
              <w:left w:val="nil"/>
              <w:bottom w:val="nil"/>
              <w:right w:val="nil"/>
            </w:tcBorders>
            <w:shd w:val="clear" w:color="auto" w:fill="CCEEFF"/>
            <w:tcMar>
              <w:top w:w="0" w:type="dxa"/>
              <w:left w:w="53" w:type="dxa"/>
              <w:bottom w:w="0" w:type="dxa"/>
              <w:right w:w="0" w:type="dxa"/>
            </w:tcMar>
            <w:vAlign w:val="bottom"/>
          </w:tcPr>
          <w:p w14:paraId="44AF7B46" w14:textId="77777777" w:rsidR="002E0961" w:rsidRDefault="00BD0E60">
            <w:pPr>
              <w:keepNext/>
              <w:spacing w:before="75" w:after="30" w:line="200" w:lineRule="auto"/>
              <w:jc w:val="right"/>
            </w:pPr>
            <w:r>
              <w:rPr>
                <w:color w:val="000000"/>
                <w:sz w:val="20"/>
              </w:rPr>
              <w:t>708 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B1911BC" w14:textId="77777777" w:rsidR="002E0961" w:rsidRDefault="002E0961">
            <w:pPr>
              <w:keepNext/>
              <w:spacing w:before="75" w:after="30" w:line="200" w:lineRule="auto"/>
            </w:pPr>
          </w:p>
        </w:tc>
        <w:tc>
          <w:tcPr>
            <w:tcW w:w="90" w:type="dxa"/>
            <w:tcBorders>
              <w:top w:val="nil"/>
              <w:left w:val="nil"/>
              <w:bottom w:val="nil"/>
              <w:right w:val="nil"/>
            </w:tcBorders>
            <w:shd w:val="clear" w:color="auto" w:fill="CCEEFF"/>
            <w:tcMar>
              <w:top w:w="0" w:type="dxa"/>
              <w:left w:w="0" w:type="dxa"/>
              <w:bottom w:w="0" w:type="dxa"/>
              <w:right w:w="0" w:type="dxa"/>
            </w:tcMar>
            <w:vAlign w:val="bottom"/>
          </w:tcPr>
          <w:p w14:paraId="2BCA22F4" w14:textId="77777777" w:rsidR="002E0961" w:rsidRDefault="002E0961">
            <w:pPr>
              <w:keepNext/>
            </w:pPr>
          </w:p>
        </w:tc>
        <w:tc>
          <w:tcPr>
            <w:tcW w:w="1355" w:type="dxa"/>
            <w:gridSpan w:val="2"/>
            <w:tcBorders>
              <w:top w:val="nil"/>
              <w:left w:val="nil"/>
              <w:bottom w:val="nil"/>
              <w:right w:val="nil"/>
            </w:tcBorders>
            <w:shd w:val="clear" w:color="auto" w:fill="CCEEFF"/>
            <w:tcMar>
              <w:top w:w="0" w:type="dxa"/>
              <w:left w:w="53" w:type="dxa"/>
              <w:bottom w:w="0" w:type="dxa"/>
              <w:right w:w="0" w:type="dxa"/>
            </w:tcMar>
            <w:vAlign w:val="bottom"/>
          </w:tcPr>
          <w:p w14:paraId="04ABB353" w14:textId="77777777" w:rsidR="002E0961" w:rsidRDefault="00BD0E60">
            <w:pPr>
              <w:keepNext/>
              <w:spacing w:before="75" w:after="30" w:line="200" w:lineRule="auto"/>
              <w:jc w:val="right"/>
            </w:pPr>
            <w:r>
              <w:rPr>
                <w:color w:val="000000"/>
                <w:sz w:val="20"/>
              </w:rPr>
              <w:t>710 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A0B31F9" w14:textId="77777777" w:rsidR="002E0961" w:rsidRDefault="002E0961">
            <w:pPr>
              <w:keepNext/>
              <w:spacing w:before="75" w:after="30" w:line="200" w:lineRule="auto"/>
            </w:pPr>
          </w:p>
        </w:tc>
      </w:tr>
      <w:tr w:rsidR="002E0961" w14:paraId="5E51DB3F" w14:textId="77777777">
        <w:trPr>
          <w:cantSplit/>
          <w:trHeight w:hRule="exact" w:val="300"/>
          <w:jc w:val="center"/>
        </w:trPr>
        <w:tc>
          <w:tcPr>
            <w:tcW w:w="5400" w:type="dxa"/>
            <w:tcBorders>
              <w:top w:val="nil"/>
              <w:left w:val="nil"/>
              <w:bottom w:val="nil"/>
              <w:right w:val="nil"/>
            </w:tcBorders>
            <w:shd w:val="clear" w:color="auto" w:fill="FFFFFF"/>
            <w:tcMar>
              <w:top w:w="0" w:type="dxa"/>
              <w:left w:w="53" w:type="dxa"/>
              <w:bottom w:w="0" w:type="dxa"/>
              <w:right w:w="53" w:type="dxa"/>
            </w:tcMar>
            <w:vAlign w:val="bottom"/>
          </w:tcPr>
          <w:p w14:paraId="61256B91" w14:textId="77777777" w:rsidR="002E0961" w:rsidRDefault="00BD0E60">
            <w:pPr>
              <w:keepNext/>
              <w:spacing w:before="75" w:after="30" w:line="200" w:lineRule="auto"/>
            </w:pPr>
            <w:r>
              <w:rPr>
                <w:color w:val="000000"/>
                <w:sz w:val="20"/>
              </w:rPr>
              <w:t>Total assets</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739C8C9D" w14:textId="77777777" w:rsidR="002E0961" w:rsidRDefault="002E0961">
            <w:pPr>
              <w:keepNext/>
            </w:pPr>
          </w:p>
        </w:tc>
        <w:tc>
          <w:tcPr>
            <w:tcW w:w="1460" w:type="dxa"/>
            <w:gridSpan w:val="2"/>
            <w:tcBorders>
              <w:top w:val="nil"/>
              <w:left w:val="nil"/>
              <w:bottom w:val="nil"/>
              <w:right w:val="nil"/>
            </w:tcBorders>
            <w:shd w:val="clear" w:color="auto" w:fill="FFFFFF"/>
            <w:tcMar>
              <w:top w:w="0" w:type="dxa"/>
              <w:left w:w="53" w:type="dxa"/>
              <w:bottom w:w="0" w:type="dxa"/>
              <w:right w:w="0" w:type="dxa"/>
            </w:tcMar>
            <w:vAlign w:val="bottom"/>
          </w:tcPr>
          <w:p w14:paraId="57CB554D" w14:textId="77777777" w:rsidR="002E0961" w:rsidRDefault="00BD0E60">
            <w:pPr>
              <w:keepNext/>
              <w:spacing w:before="75" w:after="30" w:line="200" w:lineRule="auto"/>
              <w:jc w:val="right"/>
            </w:pPr>
            <w:r>
              <w:rPr>
                <w:color w:val="000000"/>
                <w:sz w:val="20"/>
              </w:rPr>
              <w:t>2,394 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E9444F7" w14:textId="77777777" w:rsidR="002E0961" w:rsidRDefault="002E0961">
            <w:pPr>
              <w:keepNext/>
              <w:spacing w:before="75" w:after="30" w:line="200" w:lineRule="auto"/>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92670FB" w14:textId="77777777" w:rsidR="002E0961" w:rsidRDefault="002E0961">
            <w:pPr>
              <w:keepNext/>
            </w:pPr>
          </w:p>
        </w:tc>
        <w:tc>
          <w:tcPr>
            <w:tcW w:w="1355" w:type="dxa"/>
            <w:gridSpan w:val="2"/>
            <w:tcBorders>
              <w:top w:val="nil"/>
              <w:left w:val="nil"/>
              <w:bottom w:val="nil"/>
              <w:right w:val="nil"/>
            </w:tcBorders>
            <w:shd w:val="clear" w:color="auto" w:fill="FFFFFF"/>
            <w:tcMar>
              <w:top w:w="0" w:type="dxa"/>
              <w:left w:w="53" w:type="dxa"/>
              <w:bottom w:w="0" w:type="dxa"/>
              <w:right w:w="0" w:type="dxa"/>
            </w:tcMar>
            <w:vAlign w:val="bottom"/>
          </w:tcPr>
          <w:p w14:paraId="22C8F7F8" w14:textId="77777777" w:rsidR="002E0961" w:rsidRDefault="00BD0E60">
            <w:pPr>
              <w:keepNext/>
              <w:spacing w:before="75" w:after="30" w:line="200" w:lineRule="auto"/>
              <w:jc w:val="right"/>
            </w:pPr>
            <w:r>
              <w:rPr>
                <w:color w:val="000000"/>
                <w:sz w:val="20"/>
              </w:rPr>
              <w:t>2,416 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2DDB412" w14:textId="77777777" w:rsidR="002E0961" w:rsidRDefault="002E0961">
            <w:pPr>
              <w:keepNext/>
              <w:spacing w:before="75" w:after="30" w:line="200" w:lineRule="auto"/>
            </w:pPr>
          </w:p>
        </w:tc>
      </w:tr>
      <w:tr w:rsidR="002E0961" w14:paraId="5CC8A670" w14:textId="77777777">
        <w:trPr>
          <w:cantSplit/>
          <w:trHeight w:hRule="exact" w:val="300"/>
          <w:jc w:val="center"/>
        </w:trPr>
        <w:tc>
          <w:tcPr>
            <w:tcW w:w="5400" w:type="dxa"/>
            <w:tcBorders>
              <w:top w:val="nil"/>
              <w:left w:val="nil"/>
              <w:bottom w:val="nil"/>
              <w:right w:val="nil"/>
            </w:tcBorders>
            <w:shd w:val="clear" w:color="auto" w:fill="CCEEFF"/>
            <w:tcMar>
              <w:top w:w="0" w:type="dxa"/>
              <w:left w:w="53" w:type="dxa"/>
              <w:bottom w:w="0" w:type="dxa"/>
              <w:right w:w="53" w:type="dxa"/>
            </w:tcMar>
            <w:vAlign w:val="bottom"/>
          </w:tcPr>
          <w:p w14:paraId="0554EF62" w14:textId="77777777" w:rsidR="002E0961" w:rsidRDefault="00BD0E60">
            <w:pPr>
              <w:keepNext/>
              <w:spacing w:before="75" w:after="30" w:line="200" w:lineRule="auto"/>
            </w:pPr>
            <w:r>
              <w:rPr>
                <w:color w:val="000000"/>
                <w:sz w:val="20"/>
              </w:rPr>
              <w:t>Related party debt</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267040DE" w14:textId="77777777" w:rsidR="002E0961" w:rsidRDefault="002E0961">
            <w:pPr>
              <w:keepNext/>
            </w:pPr>
          </w:p>
        </w:tc>
        <w:tc>
          <w:tcPr>
            <w:tcW w:w="1460" w:type="dxa"/>
            <w:gridSpan w:val="2"/>
            <w:tcBorders>
              <w:top w:val="nil"/>
              <w:left w:val="nil"/>
              <w:bottom w:val="nil"/>
              <w:right w:val="nil"/>
            </w:tcBorders>
            <w:shd w:val="clear" w:color="auto" w:fill="CCEEFF"/>
            <w:tcMar>
              <w:top w:w="0" w:type="dxa"/>
              <w:left w:w="53" w:type="dxa"/>
              <w:bottom w:w="0" w:type="dxa"/>
              <w:right w:w="0" w:type="dxa"/>
            </w:tcMar>
            <w:vAlign w:val="bottom"/>
          </w:tcPr>
          <w:p w14:paraId="3B755C51" w14:textId="77777777" w:rsidR="002E0961" w:rsidRDefault="00BD0E60">
            <w:pPr>
              <w:keepNext/>
              <w:spacing w:before="75" w:after="30" w:line="200" w:lineRule="auto"/>
              <w:jc w:val="right"/>
            </w:pPr>
            <w:r>
              <w:rPr>
                <w:color w:val="000000"/>
                <w:sz w:val="20"/>
              </w:rPr>
              <w:t>2,692 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06356D6" w14:textId="77777777" w:rsidR="002E0961" w:rsidRDefault="002E0961">
            <w:pPr>
              <w:keepNext/>
              <w:spacing w:before="75" w:after="30" w:line="200" w:lineRule="auto"/>
            </w:pPr>
          </w:p>
        </w:tc>
        <w:tc>
          <w:tcPr>
            <w:tcW w:w="90" w:type="dxa"/>
            <w:tcBorders>
              <w:top w:val="nil"/>
              <w:left w:val="nil"/>
              <w:bottom w:val="nil"/>
              <w:right w:val="nil"/>
            </w:tcBorders>
            <w:shd w:val="clear" w:color="auto" w:fill="CCEEFF"/>
            <w:tcMar>
              <w:top w:w="0" w:type="dxa"/>
              <w:left w:w="0" w:type="dxa"/>
              <w:bottom w:w="0" w:type="dxa"/>
              <w:right w:w="0" w:type="dxa"/>
            </w:tcMar>
            <w:vAlign w:val="bottom"/>
          </w:tcPr>
          <w:p w14:paraId="1E070731" w14:textId="77777777" w:rsidR="002E0961" w:rsidRDefault="002E0961">
            <w:pPr>
              <w:keepNext/>
            </w:pPr>
          </w:p>
        </w:tc>
        <w:tc>
          <w:tcPr>
            <w:tcW w:w="1355" w:type="dxa"/>
            <w:gridSpan w:val="2"/>
            <w:tcBorders>
              <w:top w:val="nil"/>
              <w:left w:val="nil"/>
              <w:bottom w:val="nil"/>
              <w:right w:val="nil"/>
            </w:tcBorders>
            <w:shd w:val="clear" w:color="auto" w:fill="CCEEFF"/>
            <w:tcMar>
              <w:top w:w="0" w:type="dxa"/>
              <w:left w:w="53" w:type="dxa"/>
              <w:bottom w:w="0" w:type="dxa"/>
              <w:right w:w="0" w:type="dxa"/>
            </w:tcMar>
            <w:vAlign w:val="bottom"/>
          </w:tcPr>
          <w:p w14:paraId="0EABA62A" w14:textId="77777777" w:rsidR="002E0961" w:rsidRDefault="00BD0E60">
            <w:pPr>
              <w:keepNext/>
              <w:spacing w:before="75" w:after="30" w:line="200" w:lineRule="auto"/>
              <w:jc w:val="right"/>
            </w:pPr>
            <w:r>
              <w:rPr>
                <w:color w:val="000000"/>
                <w:sz w:val="20"/>
              </w:rPr>
              <w:t>2,692 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A12580C" w14:textId="77777777" w:rsidR="002E0961" w:rsidRDefault="002E0961">
            <w:pPr>
              <w:keepNext/>
              <w:spacing w:before="75" w:after="30" w:line="200" w:lineRule="auto"/>
            </w:pPr>
          </w:p>
        </w:tc>
      </w:tr>
      <w:tr w:rsidR="002E0961" w14:paraId="32570869" w14:textId="77777777">
        <w:trPr>
          <w:cantSplit/>
          <w:trHeight w:hRule="exact" w:val="300"/>
          <w:jc w:val="center"/>
        </w:trPr>
        <w:tc>
          <w:tcPr>
            <w:tcW w:w="5400" w:type="dxa"/>
            <w:tcBorders>
              <w:top w:val="nil"/>
              <w:left w:val="nil"/>
              <w:bottom w:val="nil"/>
              <w:right w:val="nil"/>
            </w:tcBorders>
            <w:shd w:val="clear" w:color="auto" w:fill="FFFFFF"/>
            <w:tcMar>
              <w:top w:w="0" w:type="dxa"/>
              <w:left w:w="53" w:type="dxa"/>
              <w:bottom w:w="0" w:type="dxa"/>
              <w:right w:w="53" w:type="dxa"/>
            </w:tcMar>
            <w:vAlign w:val="bottom"/>
          </w:tcPr>
          <w:p w14:paraId="18A60DFA" w14:textId="77777777" w:rsidR="002E0961" w:rsidRDefault="00BD0E60">
            <w:pPr>
              <w:spacing w:before="75" w:after="30" w:line="200" w:lineRule="auto"/>
            </w:pPr>
            <w:r>
              <w:rPr>
                <w:color w:val="000000"/>
                <w:sz w:val="20"/>
              </w:rPr>
              <w:t>Total deficit</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3572E9E4" w14:textId="77777777" w:rsidR="002E0961" w:rsidRDefault="002E0961"/>
        </w:tc>
        <w:tc>
          <w:tcPr>
            <w:tcW w:w="1460" w:type="dxa"/>
            <w:gridSpan w:val="2"/>
            <w:tcBorders>
              <w:top w:val="nil"/>
              <w:left w:val="nil"/>
              <w:bottom w:val="nil"/>
              <w:right w:val="nil"/>
            </w:tcBorders>
            <w:shd w:val="clear" w:color="auto" w:fill="FFFFFF"/>
            <w:tcMar>
              <w:top w:w="0" w:type="dxa"/>
              <w:left w:w="53" w:type="dxa"/>
              <w:bottom w:w="0" w:type="dxa"/>
              <w:right w:w="0" w:type="dxa"/>
            </w:tcMar>
            <w:vAlign w:val="bottom"/>
          </w:tcPr>
          <w:p w14:paraId="1483A0E7" w14:textId="77777777" w:rsidR="002E0961" w:rsidRDefault="00BD0E60">
            <w:pPr>
              <w:spacing w:before="75" w:after="30" w:line="200" w:lineRule="auto"/>
              <w:jc w:val="right"/>
            </w:pPr>
            <w:r>
              <w:rPr>
                <w:color w:val="000000"/>
                <w:sz w:val="20"/>
              </w:rPr>
              <w:t>(414)</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8C085ED" w14:textId="77777777" w:rsidR="002E0961" w:rsidRDefault="002E0961">
            <w:pPr>
              <w:spacing w:before="75" w:after="30" w:line="200" w:lineRule="auto"/>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2CDE9DEE" w14:textId="77777777" w:rsidR="002E0961" w:rsidRDefault="002E0961"/>
        </w:tc>
        <w:tc>
          <w:tcPr>
            <w:tcW w:w="1355" w:type="dxa"/>
            <w:gridSpan w:val="2"/>
            <w:tcBorders>
              <w:top w:val="nil"/>
              <w:left w:val="nil"/>
              <w:bottom w:val="nil"/>
              <w:right w:val="nil"/>
            </w:tcBorders>
            <w:shd w:val="clear" w:color="auto" w:fill="FFFFFF"/>
            <w:tcMar>
              <w:top w:w="0" w:type="dxa"/>
              <w:left w:w="53" w:type="dxa"/>
              <w:bottom w:w="0" w:type="dxa"/>
              <w:right w:w="0" w:type="dxa"/>
            </w:tcMar>
            <w:vAlign w:val="bottom"/>
          </w:tcPr>
          <w:p w14:paraId="735D7C37" w14:textId="77777777" w:rsidR="002E0961" w:rsidRDefault="00BD0E60">
            <w:pPr>
              <w:spacing w:before="75" w:after="30" w:line="200" w:lineRule="auto"/>
              <w:jc w:val="right"/>
            </w:pPr>
            <w:r>
              <w:rPr>
                <w:color w:val="000000"/>
                <w:sz w:val="20"/>
              </w:rPr>
              <w:t>(379)</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4733221" w14:textId="77777777" w:rsidR="002E0961" w:rsidRDefault="002E0961">
            <w:pPr>
              <w:spacing w:before="75" w:after="30" w:line="200" w:lineRule="auto"/>
            </w:pPr>
          </w:p>
        </w:tc>
      </w:tr>
    </w:tbl>
    <w:p w14:paraId="4FEA779D" w14:textId="77777777" w:rsidR="002E0961" w:rsidRDefault="002E0961">
      <w:pPr>
        <w:spacing w:before="120" w:line="248" w:lineRule="auto"/>
        <w:ind w:left="180" w:hanging="180"/>
        <w:rPr>
          <w:i/>
          <w:sz w:val="20"/>
        </w:rPr>
      </w:pPr>
    </w:p>
    <w:p w14:paraId="70FBA935" w14:textId="77777777" w:rsidR="002E0961" w:rsidRDefault="002E0961">
      <w:pPr>
        <w:spacing w:line="248" w:lineRule="auto"/>
        <w:rPr>
          <w:i/>
          <w:sz w:val="20"/>
        </w:rPr>
      </w:pPr>
    </w:p>
    <w:p w14:paraId="01975B08" w14:textId="77777777" w:rsidR="002E0961" w:rsidRDefault="002E0961">
      <w:pPr>
        <w:pageBreakBefore/>
        <w:spacing w:line="248" w:lineRule="auto"/>
        <w:rPr>
          <w:rFonts w:ascii="Arial" w:eastAsia="Arial" w:hAnsi="Arial" w:cs="Arial"/>
        </w:rPr>
      </w:pPr>
    </w:p>
    <w:tbl>
      <w:tblPr>
        <w:tblW w:w="10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1"/>
        <w:gridCol w:w="76"/>
        <w:gridCol w:w="163"/>
        <w:gridCol w:w="1234"/>
        <w:gridCol w:w="102"/>
        <w:gridCol w:w="76"/>
        <w:gridCol w:w="163"/>
        <w:gridCol w:w="1265"/>
        <w:gridCol w:w="102"/>
      </w:tblGrid>
      <w:tr w:rsidR="002E0961" w14:paraId="618E0B11" w14:textId="77777777">
        <w:trPr>
          <w:cantSplit/>
          <w:trHeight w:hRule="exact" w:val="570"/>
          <w:jc w:val="center"/>
        </w:trPr>
        <w:tc>
          <w:tcPr>
            <w:tcW w:w="10110" w:type="dxa"/>
            <w:gridSpan w:val="9"/>
            <w:tcBorders>
              <w:top w:val="nil"/>
              <w:left w:val="nil"/>
              <w:bottom w:val="nil"/>
              <w:right w:val="nil"/>
            </w:tcBorders>
            <w:tcMar>
              <w:top w:w="0" w:type="dxa"/>
              <w:left w:w="53" w:type="dxa"/>
              <w:bottom w:w="0" w:type="dxa"/>
              <w:right w:w="53" w:type="dxa"/>
            </w:tcMar>
            <w:vAlign w:val="bottom"/>
          </w:tcPr>
          <w:p w14:paraId="268BF04A" w14:textId="77777777" w:rsidR="002E0961" w:rsidRDefault="00BD0E60">
            <w:pPr>
              <w:keepNext/>
              <w:spacing w:before="75" w:after="30" w:line="209" w:lineRule="auto"/>
              <w:rPr>
                <w:b/>
                <w:sz w:val="22"/>
              </w:rPr>
            </w:pPr>
            <w:r>
              <w:rPr>
                <w:b/>
                <w:sz w:val="22"/>
              </w:rPr>
              <w:t>Pipeline and Terminal Volumes and Revenue per Barrel</w:t>
            </w:r>
          </w:p>
        </w:tc>
      </w:tr>
      <w:tr w:rsidR="002E0961" w14:paraId="35F99F2A" w14:textId="77777777">
        <w:trPr>
          <w:cantSplit/>
          <w:trHeight w:hRule="exact" w:val="300"/>
          <w:jc w:val="center"/>
        </w:trPr>
        <w:tc>
          <w:tcPr>
            <w:tcW w:w="6990" w:type="dxa"/>
            <w:tcBorders>
              <w:top w:val="nil"/>
              <w:left w:val="nil"/>
              <w:bottom w:val="nil"/>
              <w:right w:val="nil"/>
            </w:tcBorders>
            <w:tcMar>
              <w:top w:w="0" w:type="dxa"/>
              <w:left w:w="0" w:type="dxa"/>
              <w:bottom w:w="0" w:type="dxa"/>
              <w:right w:w="0" w:type="dxa"/>
            </w:tcMar>
            <w:vAlign w:val="bottom"/>
          </w:tcPr>
          <w:p w14:paraId="214B7BC2" w14:textId="77777777" w:rsidR="002E0961" w:rsidRDefault="002E0961">
            <w:pPr>
              <w:keepNext/>
            </w:pPr>
          </w:p>
        </w:tc>
        <w:tc>
          <w:tcPr>
            <w:tcW w:w="75" w:type="dxa"/>
            <w:tcBorders>
              <w:top w:val="nil"/>
              <w:left w:val="nil"/>
              <w:bottom w:val="nil"/>
              <w:right w:val="nil"/>
            </w:tcBorders>
            <w:tcMar>
              <w:top w:w="0" w:type="dxa"/>
              <w:left w:w="0" w:type="dxa"/>
              <w:bottom w:w="0" w:type="dxa"/>
              <w:right w:w="0" w:type="dxa"/>
            </w:tcMar>
            <w:vAlign w:val="bottom"/>
          </w:tcPr>
          <w:p w14:paraId="67D784E9" w14:textId="77777777" w:rsidR="002E0961" w:rsidRDefault="002E0961">
            <w:pPr>
              <w:keepNext/>
            </w:pPr>
          </w:p>
        </w:tc>
        <w:tc>
          <w:tcPr>
            <w:tcW w:w="3045" w:type="dxa"/>
            <w:gridSpan w:val="7"/>
            <w:tcBorders>
              <w:top w:val="nil"/>
              <w:left w:val="nil"/>
              <w:bottom w:val="nil"/>
              <w:right w:val="nil"/>
            </w:tcBorders>
            <w:tcMar>
              <w:top w:w="0" w:type="dxa"/>
              <w:left w:w="53" w:type="dxa"/>
              <w:bottom w:w="0" w:type="dxa"/>
              <w:right w:w="53" w:type="dxa"/>
            </w:tcMar>
            <w:vAlign w:val="bottom"/>
          </w:tcPr>
          <w:p w14:paraId="5212CAC4" w14:textId="77777777" w:rsidR="002E0961" w:rsidRDefault="00BD0E60">
            <w:pPr>
              <w:keepNext/>
              <w:spacing w:before="75" w:after="30" w:line="200" w:lineRule="auto"/>
              <w:jc w:val="center"/>
            </w:pPr>
            <w:r>
              <w:rPr>
                <w:b/>
                <w:color w:val="000000"/>
                <w:sz w:val="16"/>
              </w:rPr>
              <w:t>For the Three Months Ended</w:t>
            </w:r>
          </w:p>
        </w:tc>
      </w:tr>
      <w:tr w:rsidR="002E0961" w14:paraId="015864E5" w14:textId="77777777">
        <w:trPr>
          <w:cantSplit/>
          <w:trHeight w:hRule="exact" w:val="255"/>
          <w:jc w:val="center"/>
        </w:trPr>
        <w:tc>
          <w:tcPr>
            <w:tcW w:w="6990" w:type="dxa"/>
            <w:tcBorders>
              <w:top w:val="nil"/>
              <w:left w:val="nil"/>
              <w:bottom w:val="nil"/>
              <w:right w:val="nil"/>
            </w:tcBorders>
            <w:tcMar>
              <w:top w:w="0" w:type="dxa"/>
              <w:left w:w="0" w:type="dxa"/>
              <w:bottom w:w="0" w:type="dxa"/>
              <w:right w:w="0" w:type="dxa"/>
            </w:tcMar>
            <w:vAlign w:val="bottom"/>
          </w:tcPr>
          <w:p w14:paraId="445BDF8E" w14:textId="77777777" w:rsidR="002E0961" w:rsidRDefault="002E0961">
            <w:pPr>
              <w:keepNext/>
            </w:pPr>
          </w:p>
        </w:tc>
        <w:tc>
          <w:tcPr>
            <w:tcW w:w="75" w:type="dxa"/>
            <w:tcBorders>
              <w:top w:val="nil"/>
              <w:left w:val="nil"/>
              <w:bottom w:val="nil"/>
              <w:right w:val="nil"/>
            </w:tcBorders>
            <w:tcMar>
              <w:top w:w="0" w:type="dxa"/>
              <w:left w:w="0" w:type="dxa"/>
              <w:bottom w:w="0" w:type="dxa"/>
              <w:right w:w="0" w:type="dxa"/>
            </w:tcMar>
            <w:vAlign w:val="bottom"/>
          </w:tcPr>
          <w:p w14:paraId="139C2780" w14:textId="77777777" w:rsidR="002E0961" w:rsidRDefault="002E0961">
            <w:pPr>
              <w:keepNext/>
            </w:pPr>
          </w:p>
        </w:tc>
        <w:tc>
          <w:tcPr>
            <w:tcW w:w="147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68A415F7" w14:textId="77777777" w:rsidR="002E0961" w:rsidRDefault="00BD0E60">
            <w:pPr>
              <w:keepNext/>
              <w:spacing w:before="55" w:after="30" w:line="200" w:lineRule="auto"/>
              <w:jc w:val="center"/>
            </w:pPr>
            <w:r>
              <w:rPr>
                <w:b/>
                <w:color w:val="000000"/>
                <w:sz w:val="16"/>
              </w:rPr>
              <w:t>September 30, 2020</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79EB94F8" w14:textId="77777777" w:rsidR="002E0961" w:rsidRDefault="002E0961">
            <w:pPr>
              <w:keepNext/>
            </w:pPr>
          </w:p>
        </w:tc>
        <w:tc>
          <w:tcPr>
            <w:tcW w:w="150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5DBEF20A" w14:textId="77777777" w:rsidR="002E0961" w:rsidRDefault="00BD0E60">
            <w:pPr>
              <w:keepNext/>
              <w:spacing w:before="55" w:after="30" w:line="200" w:lineRule="auto"/>
              <w:jc w:val="center"/>
            </w:pPr>
            <w:r>
              <w:rPr>
                <w:b/>
                <w:color w:val="000000"/>
                <w:sz w:val="16"/>
              </w:rPr>
              <w:t>June 30, 2020</w:t>
            </w:r>
          </w:p>
        </w:tc>
      </w:tr>
      <w:tr w:rsidR="002E0961" w14:paraId="64E3A2F9" w14:textId="77777777">
        <w:trPr>
          <w:cantSplit/>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372350F3" w14:textId="77777777" w:rsidR="002E0961" w:rsidRDefault="00BD0E60">
            <w:pPr>
              <w:keepNext/>
              <w:spacing w:before="75" w:after="30" w:line="209" w:lineRule="auto"/>
              <w:rPr>
                <w:b/>
                <w:sz w:val="20"/>
              </w:rPr>
            </w:pPr>
            <w:r>
              <w:rPr>
                <w:b/>
                <w:sz w:val="20"/>
              </w:rPr>
              <w:t>Pipeline throughput (thousands of barrels per day)</w:t>
            </w:r>
            <w:r>
              <w:rPr>
                <w:b/>
                <w:sz w:val="20"/>
                <w:vertAlign w:val="superscript"/>
              </w:rPr>
              <w:t xml:space="preserve"> (1)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0E5571D" w14:textId="77777777" w:rsidR="002E0961" w:rsidRDefault="002E0961">
            <w:pPr>
              <w:keepNext/>
            </w:pPr>
          </w:p>
        </w:tc>
        <w:tc>
          <w:tcPr>
            <w:tcW w:w="1470" w:type="dxa"/>
            <w:gridSpan w:val="3"/>
            <w:tcBorders>
              <w:top w:val="single" w:sz="8" w:space="0" w:color="000000"/>
              <w:left w:val="nil"/>
              <w:bottom w:val="nil"/>
              <w:right w:val="nil"/>
            </w:tcBorders>
            <w:shd w:val="clear" w:color="auto" w:fill="CCEEFF"/>
            <w:tcMar>
              <w:top w:w="0" w:type="dxa"/>
              <w:left w:w="0" w:type="dxa"/>
              <w:bottom w:w="0" w:type="dxa"/>
              <w:right w:w="0" w:type="dxa"/>
            </w:tcMar>
            <w:vAlign w:val="bottom"/>
          </w:tcPr>
          <w:p w14:paraId="594BDADC" w14:textId="77777777" w:rsidR="002E0961" w:rsidRDefault="002E0961">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E181645" w14:textId="77777777" w:rsidR="002E0961" w:rsidRDefault="002E0961">
            <w:pPr>
              <w:keepNext/>
            </w:pPr>
          </w:p>
        </w:tc>
        <w:tc>
          <w:tcPr>
            <w:tcW w:w="1500" w:type="dxa"/>
            <w:gridSpan w:val="3"/>
            <w:tcBorders>
              <w:top w:val="single" w:sz="8" w:space="0" w:color="000000"/>
              <w:left w:val="nil"/>
              <w:bottom w:val="nil"/>
              <w:right w:val="nil"/>
            </w:tcBorders>
            <w:shd w:val="clear" w:color="auto" w:fill="CCEEFF"/>
            <w:tcMar>
              <w:top w:w="0" w:type="dxa"/>
              <w:left w:w="0" w:type="dxa"/>
              <w:bottom w:w="0" w:type="dxa"/>
              <w:right w:w="0" w:type="dxa"/>
            </w:tcMar>
            <w:vAlign w:val="bottom"/>
          </w:tcPr>
          <w:p w14:paraId="0D1B2192" w14:textId="77777777" w:rsidR="002E0961" w:rsidRDefault="002E0961">
            <w:pPr>
              <w:keepNext/>
            </w:pPr>
          </w:p>
        </w:tc>
      </w:tr>
      <w:tr w:rsidR="002E0961" w14:paraId="2361CF56" w14:textId="77777777">
        <w:trPr>
          <w:cantSplit/>
          <w:trHeight w:hRule="exact" w:val="300"/>
          <w:jc w:val="center"/>
        </w:trPr>
        <w:tc>
          <w:tcPr>
            <w:tcW w:w="6990" w:type="dxa"/>
            <w:tcBorders>
              <w:top w:val="nil"/>
              <w:left w:val="nil"/>
              <w:bottom w:val="nil"/>
              <w:right w:val="nil"/>
            </w:tcBorders>
            <w:shd w:val="clear" w:color="auto" w:fill="FFFFFF"/>
            <w:tcMar>
              <w:top w:w="0" w:type="dxa"/>
              <w:left w:w="53" w:type="dxa"/>
              <w:bottom w:w="0" w:type="dxa"/>
              <w:right w:w="53" w:type="dxa"/>
            </w:tcMar>
            <w:vAlign w:val="bottom"/>
          </w:tcPr>
          <w:p w14:paraId="0BF0087F" w14:textId="77777777" w:rsidR="002E0961" w:rsidRDefault="00BD0E60">
            <w:pPr>
              <w:keepNext/>
              <w:spacing w:before="75" w:after="30" w:line="200" w:lineRule="auto"/>
            </w:pPr>
            <w:r>
              <w:rPr>
                <w:color w:val="000000"/>
                <w:sz w:val="20"/>
              </w:rPr>
              <w:t>Zydeco – Mainlines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282A20B" w14:textId="77777777" w:rsidR="002E0961" w:rsidRDefault="002E0961">
            <w:pPr>
              <w:keepNext/>
            </w:pPr>
          </w:p>
        </w:tc>
        <w:tc>
          <w:tcPr>
            <w:tcW w:w="1370" w:type="dxa"/>
            <w:gridSpan w:val="2"/>
            <w:tcBorders>
              <w:top w:val="nil"/>
              <w:left w:val="nil"/>
              <w:bottom w:val="nil"/>
              <w:right w:val="nil"/>
            </w:tcBorders>
            <w:shd w:val="clear" w:color="auto" w:fill="FFFFFF"/>
            <w:tcMar>
              <w:top w:w="0" w:type="dxa"/>
              <w:left w:w="53" w:type="dxa"/>
              <w:bottom w:w="0" w:type="dxa"/>
              <w:right w:w="0" w:type="dxa"/>
            </w:tcMar>
            <w:vAlign w:val="bottom"/>
          </w:tcPr>
          <w:p w14:paraId="388F326C" w14:textId="77777777" w:rsidR="002E0961" w:rsidRDefault="00BD0E60">
            <w:pPr>
              <w:keepNext/>
              <w:spacing w:before="75" w:after="30" w:line="200" w:lineRule="auto"/>
              <w:jc w:val="right"/>
            </w:pPr>
            <w:r>
              <w:rPr>
                <w:color w:val="000000"/>
                <w:sz w:val="20"/>
              </w:rPr>
              <w:t>524 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88E3C70"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3B18169" w14:textId="77777777" w:rsidR="002E0961" w:rsidRDefault="002E0961">
            <w:pPr>
              <w:keepNext/>
            </w:pPr>
          </w:p>
        </w:tc>
        <w:tc>
          <w:tcPr>
            <w:tcW w:w="1400" w:type="dxa"/>
            <w:gridSpan w:val="2"/>
            <w:tcBorders>
              <w:top w:val="nil"/>
              <w:left w:val="nil"/>
              <w:bottom w:val="nil"/>
              <w:right w:val="nil"/>
            </w:tcBorders>
            <w:shd w:val="clear" w:color="auto" w:fill="FFFFFF"/>
            <w:tcMar>
              <w:top w:w="0" w:type="dxa"/>
              <w:left w:w="53" w:type="dxa"/>
              <w:bottom w:w="0" w:type="dxa"/>
              <w:right w:w="0" w:type="dxa"/>
            </w:tcMar>
            <w:vAlign w:val="bottom"/>
          </w:tcPr>
          <w:p w14:paraId="3BBE6220" w14:textId="77777777" w:rsidR="002E0961" w:rsidRDefault="00BD0E60">
            <w:pPr>
              <w:keepNext/>
              <w:spacing w:before="75" w:after="30" w:line="200" w:lineRule="auto"/>
              <w:jc w:val="right"/>
            </w:pPr>
            <w:r>
              <w:rPr>
                <w:color w:val="000000"/>
                <w:sz w:val="20"/>
              </w:rPr>
              <w:t>533 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1C73C52" w14:textId="77777777" w:rsidR="002E0961" w:rsidRDefault="002E0961">
            <w:pPr>
              <w:keepNext/>
              <w:spacing w:before="75" w:after="30" w:line="200" w:lineRule="auto"/>
            </w:pPr>
          </w:p>
        </w:tc>
      </w:tr>
      <w:tr w:rsidR="002E0961" w14:paraId="2B30F3A1" w14:textId="77777777">
        <w:trPr>
          <w:cantSplit/>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7A5BDCE5" w14:textId="77777777" w:rsidR="002E0961" w:rsidRDefault="00BD0E60">
            <w:pPr>
              <w:keepNext/>
              <w:spacing w:before="75" w:after="30" w:line="200" w:lineRule="auto"/>
            </w:pPr>
            <w:r>
              <w:rPr>
                <w:color w:val="000000"/>
                <w:sz w:val="20"/>
              </w:rPr>
              <w:t>Zydeco – Other segments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1364869" w14:textId="77777777" w:rsidR="002E0961" w:rsidRDefault="002E0961">
            <w:pPr>
              <w:keepNext/>
            </w:pPr>
          </w:p>
        </w:tc>
        <w:tc>
          <w:tcPr>
            <w:tcW w:w="137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0A84AA81" w14:textId="77777777" w:rsidR="002E0961" w:rsidRDefault="00BD0E60">
            <w:pPr>
              <w:keepNext/>
              <w:spacing w:before="75" w:after="30" w:line="200" w:lineRule="auto"/>
              <w:jc w:val="right"/>
            </w:pPr>
            <w:r>
              <w:rPr>
                <w:color w:val="000000"/>
                <w:sz w:val="20"/>
              </w:rPr>
              <w:t>128 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E8DDFD9"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3D13829" w14:textId="77777777" w:rsidR="002E0961" w:rsidRDefault="002E0961">
            <w:pPr>
              <w:keepNext/>
            </w:pPr>
          </w:p>
        </w:tc>
        <w:tc>
          <w:tcPr>
            <w:tcW w:w="140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4C645CCD" w14:textId="77777777" w:rsidR="002E0961" w:rsidRDefault="00BD0E60">
            <w:pPr>
              <w:keepNext/>
              <w:spacing w:before="75" w:after="30" w:line="200" w:lineRule="auto"/>
              <w:jc w:val="right"/>
            </w:pPr>
            <w:r>
              <w:rPr>
                <w:color w:val="000000"/>
                <w:sz w:val="20"/>
              </w:rPr>
              <w:t>128 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149117E" w14:textId="77777777" w:rsidR="002E0961" w:rsidRDefault="002E0961">
            <w:pPr>
              <w:keepNext/>
              <w:spacing w:before="75" w:after="30" w:line="200" w:lineRule="auto"/>
            </w:pPr>
          </w:p>
        </w:tc>
      </w:tr>
      <w:tr w:rsidR="002E0961" w14:paraId="2944E556" w14:textId="77777777">
        <w:trPr>
          <w:cantSplit/>
          <w:trHeight w:hRule="exact" w:val="300"/>
          <w:jc w:val="center"/>
        </w:trPr>
        <w:tc>
          <w:tcPr>
            <w:tcW w:w="6990" w:type="dxa"/>
            <w:tcBorders>
              <w:top w:val="nil"/>
              <w:left w:val="nil"/>
              <w:bottom w:val="nil"/>
              <w:right w:val="nil"/>
            </w:tcBorders>
            <w:shd w:val="clear" w:color="auto" w:fill="FFFFFF"/>
            <w:tcMar>
              <w:top w:w="0" w:type="dxa"/>
              <w:left w:w="53" w:type="dxa"/>
              <w:bottom w:w="0" w:type="dxa"/>
              <w:right w:w="53" w:type="dxa"/>
            </w:tcMar>
            <w:vAlign w:val="bottom"/>
          </w:tcPr>
          <w:p w14:paraId="0FFF2DB3" w14:textId="77777777" w:rsidR="002E0961" w:rsidRDefault="00BD0E60">
            <w:pPr>
              <w:keepNext/>
              <w:spacing w:before="75" w:after="30" w:line="200" w:lineRule="auto"/>
              <w:ind w:left="120"/>
            </w:pPr>
            <w:r>
              <w:rPr>
                <w:color w:val="000000"/>
                <w:sz w:val="20"/>
              </w:rPr>
              <w:t>Zydeco total system</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B88E712" w14:textId="77777777" w:rsidR="002E0961" w:rsidRDefault="002E0961">
            <w:pPr>
              <w:keepNext/>
            </w:pPr>
          </w:p>
        </w:tc>
        <w:tc>
          <w:tcPr>
            <w:tcW w:w="137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5E157C79" w14:textId="77777777" w:rsidR="002E0961" w:rsidRDefault="00BD0E60">
            <w:pPr>
              <w:keepNext/>
              <w:spacing w:before="55" w:after="30" w:line="200" w:lineRule="auto"/>
              <w:jc w:val="right"/>
            </w:pPr>
            <w:r>
              <w:rPr>
                <w:color w:val="000000"/>
                <w:sz w:val="20"/>
              </w:rPr>
              <w:t>652 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9550D1D" w14:textId="77777777" w:rsidR="002E0961" w:rsidRDefault="002E0961">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EE50599" w14:textId="77777777" w:rsidR="002E0961" w:rsidRDefault="002E0961">
            <w:pPr>
              <w:keepNext/>
            </w:pPr>
          </w:p>
        </w:tc>
        <w:tc>
          <w:tcPr>
            <w:tcW w:w="140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4314A65C" w14:textId="77777777" w:rsidR="002E0961" w:rsidRDefault="00BD0E60">
            <w:pPr>
              <w:keepNext/>
              <w:spacing w:before="55" w:after="30" w:line="200" w:lineRule="auto"/>
              <w:jc w:val="right"/>
            </w:pPr>
            <w:r>
              <w:rPr>
                <w:color w:val="000000"/>
                <w:sz w:val="20"/>
              </w:rPr>
              <w:t>661 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A3EE0DB" w14:textId="77777777" w:rsidR="002E0961" w:rsidRDefault="002E0961">
            <w:pPr>
              <w:keepNext/>
              <w:spacing w:before="55" w:after="30" w:line="200" w:lineRule="auto"/>
            </w:pPr>
          </w:p>
        </w:tc>
      </w:tr>
      <w:tr w:rsidR="002E0961" w14:paraId="1C32FE47" w14:textId="77777777">
        <w:trPr>
          <w:cantSplit/>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531EDB6C" w14:textId="77777777" w:rsidR="002E0961" w:rsidRDefault="00BD0E60">
            <w:pPr>
              <w:keepNext/>
              <w:spacing w:before="75" w:after="30" w:line="200" w:lineRule="auto"/>
            </w:pPr>
            <w:r>
              <w:rPr>
                <w:color w:val="000000"/>
                <w:sz w:val="20"/>
              </w:rPr>
              <w:t>Amberjack total system</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1D4AD80" w14:textId="77777777" w:rsidR="002E0961" w:rsidRDefault="002E0961">
            <w:pPr>
              <w:keepNext/>
            </w:pPr>
          </w:p>
        </w:tc>
        <w:tc>
          <w:tcPr>
            <w:tcW w:w="1370" w:type="dxa"/>
            <w:gridSpan w:val="2"/>
            <w:tcBorders>
              <w:top w:val="nil"/>
              <w:left w:val="nil"/>
              <w:bottom w:val="nil"/>
              <w:right w:val="nil"/>
            </w:tcBorders>
            <w:shd w:val="clear" w:color="auto" w:fill="CCEEFF"/>
            <w:tcMar>
              <w:top w:w="0" w:type="dxa"/>
              <w:left w:w="53" w:type="dxa"/>
              <w:bottom w:w="0" w:type="dxa"/>
              <w:right w:w="0" w:type="dxa"/>
            </w:tcMar>
            <w:vAlign w:val="bottom"/>
          </w:tcPr>
          <w:p w14:paraId="3710FD96" w14:textId="77777777" w:rsidR="002E0961" w:rsidRDefault="00BD0E60">
            <w:pPr>
              <w:keepNext/>
              <w:spacing w:before="75" w:after="30" w:line="200" w:lineRule="auto"/>
              <w:jc w:val="right"/>
            </w:pPr>
            <w:r>
              <w:rPr>
                <w:color w:val="000000"/>
                <w:sz w:val="20"/>
              </w:rPr>
              <w:t>295 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1DD4786"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10DA5F6" w14:textId="77777777" w:rsidR="002E0961" w:rsidRDefault="002E0961">
            <w:pPr>
              <w:keepNext/>
            </w:pPr>
          </w:p>
        </w:tc>
        <w:tc>
          <w:tcPr>
            <w:tcW w:w="1400" w:type="dxa"/>
            <w:gridSpan w:val="2"/>
            <w:tcBorders>
              <w:top w:val="nil"/>
              <w:left w:val="nil"/>
              <w:bottom w:val="nil"/>
              <w:right w:val="nil"/>
            </w:tcBorders>
            <w:shd w:val="clear" w:color="auto" w:fill="CCEEFF"/>
            <w:tcMar>
              <w:top w:w="0" w:type="dxa"/>
              <w:left w:w="53" w:type="dxa"/>
              <w:bottom w:w="0" w:type="dxa"/>
              <w:right w:w="0" w:type="dxa"/>
            </w:tcMar>
            <w:vAlign w:val="bottom"/>
          </w:tcPr>
          <w:p w14:paraId="43A4B6BE" w14:textId="77777777" w:rsidR="002E0961" w:rsidRDefault="00BD0E60">
            <w:pPr>
              <w:keepNext/>
              <w:spacing w:before="75" w:after="30" w:line="200" w:lineRule="auto"/>
              <w:jc w:val="right"/>
            </w:pPr>
            <w:r>
              <w:rPr>
                <w:color w:val="000000"/>
                <w:sz w:val="20"/>
              </w:rPr>
              <w:t>350 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10371D7" w14:textId="77777777" w:rsidR="002E0961" w:rsidRDefault="002E0961">
            <w:pPr>
              <w:keepNext/>
              <w:spacing w:before="75" w:after="30" w:line="200" w:lineRule="auto"/>
            </w:pPr>
          </w:p>
        </w:tc>
      </w:tr>
      <w:tr w:rsidR="002E0961" w14:paraId="14E4B791" w14:textId="77777777">
        <w:trPr>
          <w:cantSplit/>
          <w:trHeight w:hRule="exact" w:val="300"/>
          <w:jc w:val="center"/>
        </w:trPr>
        <w:tc>
          <w:tcPr>
            <w:tcW w:w="6990" w:type="dxa"/>
            <w:tcBorders>
              <w:top w:val="nil"/>
              <w:left w:val="nil"/>
              <w:bottom w:val="nil"/>
              <w:right w:val="nil"/>
            </w:tcBorders>
            <w:shd w:val="clear" w:color="auto" w:fill="FFFFFF"/>
            <w:tcMar>
              <w:top w:w="0" w:type="dxa"/>
              <w:left w:w="53" w:type="dxa"/>
              <w:bottom w:w="0" w:type="dxa"/>
              <w:right w:w="53" w:type="dxa"/>
            </w:tcMar>
            <w:vAlign w:val="bottom"/>
          </w:tcPr>
          <w:p w14:paraId="6B51B3F8" w14:textId="77777777" w:rsidR="002E0961" w:rsidRDefault="00BD0E60">
            <w:pPr>
              <w:keepNext/>
              <w:spacing w:before="75" w:after="30" w:line="200" w:lineRule="auto"/>
            </w:pPr>
            <w:r>
              <w:rPr>
                <w:color w:val="000000"/>
                <w:sz w:val="20"/>
              </w:rPr>
              <w:t>Mars total system</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8722A8E" w14:textId="77777777" w:rsidR="002E0961" w:rsidRDefault="002E0961">
            <w:pPr>
              <w:keepNext/>
            </w:pPr>
          </w:p>
        </w:tc>
        <w:tc>
          <w:tcPr>
            <w:tcW w:w="1370" w:type="dxa"/>
            <w:gridSpan w:val="2"/>
            <w:tcBorders>
              <w:top w:val="nil"/>
              <w:left w:val="nil"/>
              <w:bottom w:val="nil"/>
              <w:right w:val="nil"/>
            </w:tcBorders>
            <w:shd w:val="clear" w:color="auto" w:fill="FFFFFF"/>
            <w:tcMar>
              <w:top w:w="0" w:type="dxa"/>
              <w:left w:w="53" w:type="dxa"/>
              <w:bottom w:w="0" w:type="dxa"/>
              <w:right w:w="0" w:type="dxa"/>
            </w:tcMar>
            <w:vAlign w:val="bottom"/>
          </w:tcPr>
          <w:p w14:paraId="0ED74E00" w14:textId="77777777" w:rsidR="002E0961" w:rsidRDefault="00BD0E60">
            <w:pPr>
              <w:keepNext/>
              <w:spacing w:before="75" w:after="30" w:line="200" w:lineRule="auto"/>
              <w:jc w:val="right"/>
            </w:pPr>
            <w:r>
              <w:rPr>
                <w:color w:val="000000"/>
                <w:sz w:val="20"/>
              </w:rPr>
              <w:t>479 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4D80341"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E01C9BB" w14:textId="77777777" w:rsidR="002E0961" w:rsidRDefault="002E0961">
            <w:pPr>
              <w:keepNext/>
            </w:pPr>
          </w:p>
        </w:tc>
        <w:tc>
          <w:tcPr>
            <w:tcW w:w="1400" w:type="dxa"/>
            <w:gridSpan w:val="2"/>
            <w:tcBorders>
              <w:top w:val="nil"/>
              <w:left w:val="nil"/>
              <w:bottom w:val="nil"/>
              <w:right w:val="nil"/>
            </w:tcBorders>
            <w:shd w:val="clear" w:color="auto" w:fill="FFFFFF"/>
            <w:tcMar>
              <w:top w:w="0" w:type="dxa"/>
              <w:left w:w="53" w:type="dxa"/>
              <w:bottom w:w="0" w:type="dxa"/>
              <w:right w:w="0" w:type="dxa"/>
            </w:tcMar>
            <w:vAlign w:val="bottom"/>
          </w:tcPr>
          <w:p w14:paraId="45A4BAD0" w14:textId="77777777" w:rsidR="002E0961" w:rsidRDefault="00BD0E60">
            <w:pPr>
              <w:keepNext/>
              <w:spacing w:before="75" w:after="30" w:line="200" w:lineRule="auto"/>
              <w:jc w:val="right"/>
            </w:pPr>
            <w:r>
              <w:rPr>
                <w:color w:val="000000"/>
                <w:sz w:val="20"/>
              </w:rPr>
              <w:t>501 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B9F9A06" w14:textId="77777777" w:rsidR="002E0961" w:rsidRDefault="002E0961">
            <w:pPr>
              <w:keepNext/>
              <w:spacing w:before="75" w:after="30" w:line="200" w:lineRule="auto"/>
            </w:pPr>
          </w:p>
        </w:tc>
      </w:tr>
      <w:tr w:rsidR="002E0961" w14:paraId="11AA5E9C" w14:textId="77777777">
        <w:trPr>
          <w:cantSplit/>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2562F1EC" w14:textId="77777777" w:rsidR="002E0961" w:rsidRDefault="00BD0E60">
            <w:pPr>
              <w:keepNext/>
              <w:spacing w:before="75" w:after="30" w:line="200" w:lineRule="auto"/>
            </w:pPr>
            <w:r>
              <w:rPr>
                <w:color w:val="000000"/>
                <w:sz w:val="20"/>
              </w:rPr>
              <w:t>Bengal total system</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FE79FB5" w14:textId="77777777" w:rsidR="002E0961" w:rsidRDefault="002E0961">
            <w:pPr>
              <w:keepNext/>
            </w:pPr>
          </w:p>
        </w:tc>
        <w:tc>
          <w:tcPr>
            <w:tcW w:w="1370" w:type="dxa"/>
            <w:gridSpan w:val="2"/>
            <w:tcBorders>
              <w:top w:val="nil"/>
              <w:left w:val="nil"/>
              <w:bottom w:val="nil"/>
              <w:right w:val="nil"/>
            </w:tcBorders>
            <w:shd w:val="clear" w:color="auto" w:fill="CCEEFF"/>
            <w:tcMar>
              <w:top w:w="0" w:type="dxa"/>
              <w:left w:w="53" w:type="dxa"/>
              <w:bottom w:w="0" w:type="dxa"/>
              <w:right w:w="0" w:type="dxa"/>
            </w:tcMar>
            <w:vAlign w:val="bottom"/>
          </w:tcPr>
          <w:p w14:paraId="53E6CCB4" w14:textId="77777777" w:rsidR="002E0961" w:rsidRDefault="00BD0E60">
            <w:pPr>
              <w:keepNext/>
              <w:spacing w:before="75" w:after="30" w:line="200" w:lineRule="auto"/>
              <w:jc w:val="right"/>
            </w:pPr>
            <w:r>
              <w:rPr>
                <w:color w:val="000000"/>
                <w:sz w:val="20"/>
              </w:rPr>
              <w:t>468 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847E916"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9C5C6B5" w14:textId="77777777" w:rsidR="002E0961" w:rsidRDefault="002E0961">
            <w:pPr>
              <w:keepNext/>
            </w:pPr>
          </w:p>
        </w:tc>
        <w:tc>
          <w:tcPr>
            <w:tcW w:w="1400" w:type="dxa"/>
            <w:gridSpan w:val="2"/>
            <w:tcBorders>
              <w:top w:val="nil"/>
              <w:left w:val="nil"/>
              <w:bottom w:val="nil"/>
              <w:right w:val="nil"/>
            </w:tcBorders>
            <w:shd w:val="clear" w:color="auto" w:fill="CCEEFF"/>
            <w:tcMar>
              <w:top w:w="0" w:type="dxa"/>
              <w:left w:w="53" w:type="dxa"/>
              <w:bottom w:w="0" w:type="dxa"/>
              <w:right w:w="0" w:type="dxa"/>
            </w:tcMar>
            <w:vAlign w:val="bottom"/>
          </w:tcPr>
          <w:p w14:paraId="1365062B" w14:textId="77777777" w:rsidR="002E0961" w:rsidRDefault="00BD0E60">
            <w:pPr>
              <w:keepNext/>
              <w:spacing w:before="75" w:after="30" w:line="200" w:lineRule="auto"/>
              <w:jc w:val="right"/>
            </w:pPr>
            <w:r>
              <w:rPr>
                <w:color w:val="000000"/>
                <w:sz w:val="20"/>
              </w:rPr>
              <w:t>430 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5AA4F21" w14:textId="77777777" w:rsidR="002E0961" w:rsidRDefault="002E0961">
            <w:pPr>
              <w:keepNext/>
              <w:spacing w:before="75" w:after="30" w:line="200" w:lineRule="auto"/>
            </w:pPr>
          </w:p>
        </w:tc>
      </w:tr>
      <w:tr w:rsidR="002E0961" w14:paraId="3CF16AB0" w14:textId="77777777">
        <w:trPr>
          <w:cantSplit/>
          <w:trHeight w:hRule="exact" w:val="300"/>
          <w:jc w:val="center"/>
        </w:trPr>
        <w:tc>
          <w:tcPr>
            <w:tcW w:w="6990" w:type="dxa"/>
            <w:tcBorders>
              <w:top w:val="nil"/>
              <w:left w:val="nil"/>
              <w:bottom w:val="nil"/>
              <w:right w:val="nil"/>
            </w:tcBorders>
            <w:shd w:val="clear" w:color="auto" w:fill="FFFFFF"/>
            <w:tcMar>
              <w:top w:w="0" w:type="dxa"/>
              <w:left w:w="53" w:type="dxa"/>
              <w:bottom w:w="0" w:type="dxa"/>
              <w:right w:w="53" w:type="dxa"/>
            </w:tcMar>
            <w:vAlign w:val="bottom"/>
          </w:tcPr>
          <w:p w14:paraId="4FFC544C" w14:textId="77777777" w:rsidR="002E0961" w:rsidRDefault="00BD0E60">
            <w:pPr>
              <w:keepNext/>
              <w:spacing w:before="75" w:after="30" w:line="200" w:lineRule="auto"/>
            </w:pPr>
            <w:r>
              <w:rPr>
                <w:color w:val="000000"/>
                <w:sz w:val="20"/>
              </w:rPr>
              <w:t>Poseidon total system</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E3AC858" w14:textId="77777777" w:rsidR="002E0961" w:rsidRDefault="002E0961">
            <w:pPr>
              <w:keepNext/>
            </w:pPr>
          </w:p>
        </w:tc>
        <w:tc>
          <w:tcPr>
            <w:tcW w:w="1370" w:type="dxa"/>
            <w:gridSpan w:val="2"/>
            <w:tcBorders>
              <w:top w:val="nil"/>
              <w:left w:val="nil"/>
              <w:bottom w:val="nil"/>
              <w:right w:val="nil"/>
            </w:tcBorders>
            <w:shd w:val="clear" w:color="auto" w:fill="FFFFFF"/>
            <w:tcMar>
              <w:top w:w="0" w:type="dxa"/>
              <w:left w:w="53" w:type="dxa"/>
              <w:bottom w:w="0" w:type="dxa"/>
              <w:right w:w="0" w:type="dxa"/>
            </w:tcMar>
            <w:vAlign w:val="bottom"/>
          </w:tcPr>
          <w:p w14:paraId="50249E8D" w14:textId="77777777" w:rsidR="002E0961" w:rsidRDefault="00BD0E60">
            <w:pPr>
              <w:keepNext/>
              <w:spacing w:before="75" w:after="30" w:line="200" w:lineRule="auto"/>
              <w:jc w:val="right"/>
            </w:pPr>
            <w:r>
              <w:rPr>
                <w:color w:val="000000"/>
                <w:sz w:val="20"/>
              </w:rPr>
              <w:t>274 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7E3651C"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9AAAD80" w14:textId="77777777" w:rsidR="002E0961" w:rsidRDefault="002E0961">
            <w:pPr>
              <w:keepNext/>
            </w:pPr>
          </w:p>
        </w:tc>
        <w:tc>
          <w:tcPr>
            <w:tcW w:w="1400" w:type="dxa"/>
            <w:gridSpan w:val="2"/>
            <w:tcBorders>
              <w:top w:val="nil"/>
              <w:left w:val="nil"/>
              <w:bottom w:val="nil"/>
              <w:right w:val="nil"/>
            </w:tcBorders>
            <w:shd w:val="clear" w:color="auto" w:fill="FFFFFF"/>
            <w:tcMar>
              <w:top w:w="0" w:type="dxa"/>
              <w:left w:w="53" w:type="dxa"/>
              <w:bottom w:w="0" w:type="dxa"/>
              <w:right w:w="0" w:type="dxa"/>
            </w:tcMar>
            <w:vAlign w:val="bottom"/>
          </w:tcPr>
          <w:p w14:paraId="03CEE889" w14:textId="77777777" w:rsidR="002E0961" w:rsidRDefault="00BD0E60">
            <w:pPr>
              <w:keepNext/>
              <w:spacing w:before="75" w:after="30" w:line="200" w:lineRule="auto"/>
              <w:jc w:val="right"/>
            </w:pPr>
            <w:r>
              <w:rPr>
                <w:color w:val="000000"/>
                <w:sz w:val="20"/>
              </w:rPr>
              <w:t>253 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3BB8BDD" w14:textId="77777777" w:rsidR="002E0961" w:rsidRDefault="002E0961">
            <w:pPr>
              <w:keepNext/>
              <w:spacing w:before="75" w:after="30" w:line="200" w:lineRule="auto"/>
            </w:pPr>
          </w:p>
        </w:tc>
      </w:tr>
      <w:tr w:rsidR="002E0961" w14:paraId="098E5BDA" w14:textId="77777777">
        <w:trPr>
          <w:cantSplit/>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1496ADC5" w14:textId="77777777" w:rsidR="002E0961" w:rsidRDefault="00BD0E60">
            <w:pPr>
              <w:keepNext/>
              <w:spacing w:before="75" w:after="30" w:line="200" w:lineRule="auto"/>
            </w:pPr>
            <w:r>
              <w:rPr>
                <w:color w:val="000000"/>
                <w:sz w:val="20"/>
              </w:rPr>
              <w:t>Auger total system</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3950B25" w14:textId="77777777" w:rsidR="002E0961" w:rsidRDefault="002E0961">
            <w:pPr>
              <w:keepNext/>
            </w:pPr>
          </w:p>
        </w:tc>
        <w:tc>
          <w:tcPr>
            <w:tcW w:w="1370" w:type="dxa"/>
            <w:gridSpan w:val="2"/>
            <w:tcBorders>
              <w:top w:val="nil"/>
              <w:left w:val="nil"/>
              <w:bottom w:val="nil"/>
              <w:right w:val="nil"/>
            </w:tcBorders>
            <w:shd w:val="clear" w:color="auto" w:fill="CCEEFF"/>
            <w:tcMar>
              <w:top w:w="0" w:type="dxa"/>
              <w:left w:w="53" w:type="dxa"/>
              <w:bottom w:w="0" w:type="dxa"/>
              <w:right w:w="0" w:type="dxa"/>
            </w:tcMar>
            <w:vAlign w:val="bottom"/>
          </w:tcPr>
          <w:p w14:paraId="37D98D91" w14:textId="77777777" w:rsidR="002E0961" w:rsidRDefault="00BD0E60">
            <w:pPr>
              <w:keepNext/>
              <w:spacing w:before="75" w:after="30" w:line="200" w:lineRule="auto"/>
              <w:jc w:val="right"/>
            </w:pPr>
            <w:r>
              <w:rPr>
                <w:color w:val="000000"/>
                <w:sz w:val="20"/>
              </w:rPr>
              <w:t>55 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018C8B8"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1D91AE7" w14:textId="77777777" w:rsidR="002E0961" w:rsidRDefault="002E0961">
            <w:pPr>
              <w:keepNext/>
            </w:pPr>
          </w:p>
        </w:tc>
        <w:tc>
          <w:tcPr>
            <w:tcW w:w="1400" w:type="dxa"/>
            <w:gridSpan w:val="2"/>
            <w:tcBorders>
              <w:top w:val="nil"/>
              <w:left w:val="nil"/>
              <w:bottom w:val="nil"/>
              <w:right w:val="nil"/>
            </w:tcBorders>
            <w:shd w:val="clear" w:color="auto" w:fill="CCEEFF"/>
            <w:tcMar>
              <w:top w:w="0" w:type="dxa"/>
              <w:left w:w="53" w:type="dxa"/>
              <w:bottom w:w="0" w:type="dxa"/>
              <w:right w:w="0" w:type="dxa"/>
            </w:tcMar>
            <w:vAlign w:val="bottom"/>
          </w:tcPr>
          <w:p w14:paraId="40E9E483" w14:textId="77777777" w:rsidR="002E0961" w:rsidRDefault="00BD0E60">
            <w:pPr>
              <w:keepNext/>
              <w:spacing w:before="75" w:after="30" w:line="200" w:lineRule="auto"/>
              <w:jc w:val="right"/>
            </w:pPr>
            <w:r>
              <w:rPr>
                <w:color w:val="000000"/>
                <w:sz w:val="20"/>
              </w:rPr>
              <w:t>58 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7F05233" w14:textId="77777777" w:rsidR="002E0961" w:rsidRDefault="002E0961">
            <w:pPr>
              <w:keepNext/>
              <w:spacing w:before="75" w:after="30" w:line="200" w:lineRule="auto"/>
            </w:pPr>
          </w:p>
        </w:tc>
      </w:tr>
      <w:tr w:rsidR="002E0961" w14:paraId="2329CEC3" w14:textId="77777777">
        <w:trPr>
          <w:cantSplit/>
          <w:trHeight w:hRule="exact" w:val="300"/>
          <w:jc w:val="center"/>
        </w:trPr>
        <w:tc>
          <w:tcPr>
            <w:tcW w:w="6990" w:type="dxa"/>
            <w:tcBorders>
              <w:top w:val="nil"/>
              <w:left w:val="nil"/>
              <w:bottom w:val="nil"/>
              <w:right w:val="nil"/>
            </w:tcBorders>
            <w:shd w:val="clear" w:color="auto" w:fill="FFFFFF"/>
            <w:tcMar>
              <w:top w:w="0" w:type="dxa"/>
              <w:left w:w="53" w:type="dxa"/>
              <w:bottom w:w="0" w:type="dxa"/>
              <w:right w:w="53" w:type="dxa"/>
            </w:tcMar>
            <w:vAlign w:val="bottom"/>
          </w:tcPr>
          <w:p w14:paraId="35666E32" w14:textId="77777777" w:rsidR="002E0961" w:rsidRDefault="00BD0E60">
            <w:pPr>
              <w:keepNext/>
              <w:spacing w:before="75" w:after="30" w:line="200" w:lineRule="auto"/>
            </w:pPr>
            <w:r>
              <w:rPr>
                <w:color w:val="000000"/>
                <w:sz w:val="20"/>
              </w:rPr>
              <w:t>Delta total system</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59E5040" w14:textId="77777777" w:rsidR="002E0961" w:rsidRDefault="002E0961">
            <w:pPr>
              <w:keepNext/>
            </w:pPr>
          </w:p>
        </w:tc>
        <w:tc>
          <w:tcPr>
            <w:tcW w:w="1370" w:type="dxa"/>
            <w:gridSpan w:val="2"/>
            <w:tcBorders>
              <w:top w:val="nil"/>
              <w:left w:val="nil"/>
              <w:bottom w:val="nil"/>
              <w:right w:val="nil"/>
            </w:tcBorders>
            <w:shd w:val="clear" w:color="auto" w:fill="FFFFFF"/>
            <w:tcMar>
              <w:top w:w="0" w:type="dxa"/>
              <w:left w:w="53" w:type="dxa"/>
              <w:bottom w:w="0" w:type="dxa"/>
              <w:right w:w="0" w:type="dxa"/>
            </w:tcMar>
            <w:vAlign w:val="bottom"/>
          </w:tcPr>
          <w:p w14:paraId="15798A29" w14:textId="77777777" w:rsidR="002E0961" w:rsidRDefault="00BD0E60">
            <w:pPr>
              <w:keepNext/>
              <w:spacing w:before="75" w:after="30" w:line="200" w:lineRule="auto"/>
              <w:jc w:val="right"/>
            </w:pPr>
            <w:r>
              <w:rPr>
                <w:color w:val="000000"/>
                <w:sz w:val="20"/>
              </w:rPr>
              <w:t>151 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2B5F160"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8F9EFB4" w14:textId="77777777" w:rsidR="002E0961" w:rsidRDefault="002E0961">
            <w:pPr>
              <w:keepNext/>
            </w:pPr>
          </w:p>
        </w:tc>
        <w:tc>
          <w:tcPr>
            <w:tcW w:w="1400" w:type="dxa"/>
            <w:gridSpan w:val="2"/>
            <w:tcBorders>
              <w:top w:val="nil"/>
              <w:left w:val="nil"/>
              <w:bottom w:val="nil"/>
              <w:right w:val="nil"/>
            </w:tcBorders>
            <w:shd w:val="clear" w:color="auto" w:fill="FFFFFF"/>
            <w:tcMar>
              <w:top w:w="0" w:type="dxa"/>
              <w:left w:w="53" w:type="dxa"/>
              <w:bottom w:w="0" w:type="dxa"/>
              <w:right w:w="0" w:type="dxa"/>
            </w:tcMar>
            <w:vAlign w:val="bottom"/>
          </w:tcPr>
          <w:p w14:paraId="376DA1BC" w14:textId="77777777" w:rsidR="002E0961" w:rsidRDefault="00BD0E60">
            <w:pPr>
              <w:keepNext/>
              <w:spacing w:before="75" w:after="30" w:line="200" w:lineRule="auto"/>
              <w:jc w:val="right"/>
            </w:pPr>
            <w:r>
              <w:rPr>
                <w:color w:val="000000"/>
                <w:sz w:val="20"/>
              </w:rPr>
              <w:t>214 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3E27EDE" w14:textId="77777777" w:rsidR="002E0961" w:rsidRDefault="002E0961">
            <w:pPr>
              <w:keepNext/>
              <w:spacing w:before="75" w:after="30" w:line="200" w:lineRule="auto"/>
            </w:pPr>
          </w:p>
        </w:tc>
      </w:tr>
      <w:tr w:rsidR="002E0961" w14:paraId="5D659DAA" w14:textId="77777777">
        <w:trPr>
          <w:cantSplit/>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15EDC697" w14:textId="77777777" w:rsidR="002E0961" w:rsidRDefault="00BD0E60">
            <w:pPr>
              <w:keepNext/>
              <w:spacing w:before="75" w:after="30" w:line="200" w:lineRule="auto"/>
            </w:pPr>
            <w:r>
              <w:rPr>
                <w:color w:val="000000"/>
                <w:sz w:val="20"/>
              </w:rPr>
              <w:t xml:space="preserve">Na </w:t>
            </w:r>
            <w:proofErr w:type="spellStart"/>
            <w:r>
              <w:rPr>
                <w:color w:val="000000"/>
                <w:sz w:val="20"/>
              </w:rPr>
              <w:t>Kika</w:t>
            </w:r>
            <w:proofErr w:type="spellEnd"/>
            <w:r>
              <w:rPr>
                <w:color w:val="000000"/>
                <w:sz w:val="20"/>
              </w:rPr>
              <w:t xml:space="preserve"> total system</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DE847B9" w14:textId="77777777" w:rsidR="002E0961" w:rsidRDefault="002E0961">
            <w:pPr>
              <w:keepNext/>
            </w:pPr>
          </w:p>
        </w:tc>
        <w:tc>
          <w:tcPr>
            <w:tcW w:w="1370" w:type="dxa"/>
            <w:gridSpan w:val="2"/>
            <w:tcBorders>
              <w:top w:val="nil"/>
              <w:left w:val="nil"/>
              <w:bottom w:val="nil"/>
              <w:right w:val="nil"/>
            </w:tcBorders>
            <w:shd w:val="clear" w:color="auto" w:fill="CCEEFF"/>
            <w:tcMar>
              <w:top w:w="0" w:type="dxa"/>
              <w:left w:w="53" w:type="dxa"/>
              <w:bottom w:w="0" w:type="dxa"/>
              <w:right w:w="0" w:type="dxa"/>
            </w:tcMar>
            <w:vAlign w:val="bottom"/>
          </w:tcPr>
          <w:p w14:paraId="33147F3E" w14:textId="77777777" w:rsidR="002E0961" w:rsidRDefault="00BD0E60">
            <w:pPr>
              <w:keepNext/>
              <w:spacing w:before="75" w:after="30" w:line="200" w:lineRule="auto"/>
              <w:jc w:val="right"/>
            </w:pPr>
            <w:r>
              <w:rPr>
                <w:color w:val="000000"/>
                <w:sz w:val="20"/>
              </w:rPr>
              <w:t>25 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4622ABE"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50E7DDC" w14:textId="77777777" w:rsidR="002E0961" w:rsidRDefault="002E0961">
            <w:pPr>
              <w:keepNext/>
            </w:pPr>
          </w:p>
        </w:tc>
        <w:tc>
          <w:tcPr>
            <w:tcW w:w="1400" w:type="dxa"/>
            <w:gridSpan w:val="2"/>
            <w:tcBorders>
              <w:top w:val="nil"/>
              <w:left w:val="nil"/>
              <w:bottom w:val="nil"/>
              <w:right w:val="nil"/>
            </w:tcBorders>
            <w:shd w:val="clear" w:color="auto" w:fill="CCEEFF"/>
            <w:tcMar>
              <w:top w:w="0" w:type="dxa"/>
              <w:left w:w="53" w:type="dxa"/>
              <w:bottom w:w="0" w:type="dxa"/>
              <w:right w:w="0" w:type="dxa"/>
            </w:tcMar>
            <w:vAlign w:val="bottom"/>
          </w:tcPr>
          <w:p w14:paraId="07FF3BAA" w14:textId="77777777" w:rsidR="002E0961" w:rsidRDefault="00BD0E60">
            <w:pPr>
              <w:keepNext/>
              <w:spacing w:before="75" w:after="30" w:line="200" w:lineRule="auto"/>
              <w:jc w:val="right"/>
            </w:pPr>
            <w:r>
              <w:rPr>
                <w:color w:val="000000"/>
                <w:sz w:val="20"/>
              </w:rPr>
              <w:t>54 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5A09AF5" w14:textId="77777777" w:rsidR="002E0961" w:rsidRDefault="002E0961">
            <w:pPr>
              <w:keepNext/>
              <w:spacing w:before="75" w:after="30" w:line="200" w:lineRule="auto"/>
            </w:pPr>
          </w:p>
        </w:tc>
      </w:tr>
      <w:tr w:rsidR="002E0961" w14:paraId="0849AA0B" w14:textId="77777777">
        <w:trPr>
          <w:cantSplit/>
          <w:trHeight w:hRule="exact" w:val="300"/>
          <w:jc w:val="center"/>
        </w:trPr>
        <w:tc>
          <w:tcPr>
            <w:tcW w:w="6990" w:type="dxa"/>
            <w:tcBorders>
              <w:top w:val="nil"/>
              <w:left w:val="nil"/>
              <w:bottom w:val="nil"/>
              <w:right w:val="nil"/>
            </w:tcBorders>
            <w:shd w:val="clear" w:color="auto" w:fill="FFFFFF"/>
            <w:tcMar>
              <w:top w:w="0" w:type="dxa"/>
              <w:left w:w="53" w:type="dxa"/>
              <w:bottom w:w="0" w:type="dxa"/>
              <w:right w:w="53" w:type="dxa"/>
            </w:tcMar>
            <w:vAlign w:val="bottom"/>
          </w:tcPr>
          <w:p w14:paraId="1E5E7BD8" w14:textId="77777777" w:rsidR="002E0961" w:rsidRDefault="00BD0E60">
            <w:pPr>
              <w:keepNext/>
              <w:spacing w:before="75" w:after="30" w:line="200" w:lineRule="auto"/>
            </w:pPr>
            <w:r>
              <w:rPr>
                <w:color w:val="000000"/>
                <w:sz w:val="20"/>
              </w:rPr>
              <w:t>Odyssey total system</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9C1D554" w14:textId="77777777" w:rsidR="002E0961" w:rsidRDefault="002E0961">
            <w:pPr>
              <w:keepNext/>
            </w:pPr>
          </w:p>
        </w:tc>
        <w:tc>
          <w:tcPr>
            <w:tcW w:w="1370" w:type="dxa"/>
            <w:gridSpan w:val="2"/>
            <w:tcBorders>
              <w:top w:val="nil"/>
              <w:left w:val="nil"/>
              <w:bottom w:val="nil"/>
              <w:right w:val="nil"/>
            </w:tcBorders>
            <w:shd w:val="clear" w:color="auto" w:fill="FFFFFF"/>
            <w:tcMar>
              <w:top w:w="0" w:type="dxa"/>
              <w:left w:w="53" w:type="dxa"/>
              <w:bottom w:w="0" w:type="dxa"/>
              <w:right w:w="0" w:type="dxa"/>
            </w:tcMar>
            <w:vAlign w:val="bottom"/>
          </w:tcPr>
          <w:p w14:paraId="0C21B26A" w14:textId="77777777" w:rsidR="002E0961" w:rsidRDefault="00BD0E60">
            <w:pPr>
              <w:keepNext/>
              <w:spacing w:before="75" w:after="30" w:line="200" w:lineRule="auto"/>
              <w:jc w:val="right"/>
            </w:pPr>
            <w:r>
              <w:rPr>
                <w:color w:val="000000"/>
                <w:sz w:val="20"/>
              </w:rPr>
              <w:t>85 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3C63725"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63E477A" w14:textId="77777777" w:rsidR="002E0961" w:rsidRDefault="002E0961">
            <w:pPr>
              <w:keepNext/>
            </w:pPr>
          </w:p>
        </w:tc>
        <w:tc>
          <w:tcPr>
            <w:tcW w:w="1400" w:type="dxa"/>
            <w:gridSpan w:val="2"/>
            <w:tcBorders>
              <w:top w:val="nil"/>
              <w:left w:val="nil"/>
              <w:bottom w:val="nil"/>
              <w:right w:val="nil"/>
            </w:tcBorders>
            <w:shd w:val="clear" w:color="auto" w:fill="FFFFFF"/>
            <w:tcMar>
              <w:top w:w="0" w:type="dxa"/>
              <w:left w:w="53" w:type="dxa"/>
              <w:bottom w:w="0" w:type="dxa"/>
              <w:right w:w="0" w:type="dxa"/>
            </w:tcMar>
            <w:vAlign w:val="bottom"/>
          </w:tcPr>
          <w:p w14:paraId="7E4906A2" w14:textId="77777777" w:rsidR="002E0961" w:rsidRDefault="00BD0E60">
            <w:pPr>
              <w:keepNext/>
              <w:spacing w:before="75" w:after="30" w:line="200" w:lineRule="auto"/>
              <w:jc w:val="right"/>
            </w:pPr>
            <w:r>
              <w:rPr>
                <w:color w:val="000000"/>
                <w:sz w:val="20"/>
              </w:rPr>
              <w:t>114 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2906398" w14:textId="77777777" w:rsidR="002E0961" w:rsidRDefault="002E0961">
            <w:pPr>
              <w:keepNext/>
              <w:spacing w:before="75" w:after="30" w:line="200" w:lineRule="auto"/>
            </w:pPr>
          </w:p>
        </w:tc>
      </w:tr>
      <w:tr w:rsidR="002E0961" w14:paraId="41EE7D56" w14:textId="77777777">
        <w:trPr>
          <w:cantSplit/>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0D0D2A16" w14:textId="77777777" w:rsidR="002E0961" w:rsidRDefault="00BD0E60">
            <w:pPr>
              <w:keepNext/>
              <w:spacing w:before="75" w:after="30" w:line="200" w:lineRule="auto"/>
            </w:pPr>
            <w:r>
              <w:rPr>
                <w:color w:val="000000"/>
                <w:sz w:val="20"/>
              </w:rPr>
              <w:t>Colonial total system</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D144969" w14:textId="77777777" w:rsidR="002E0961" w:rsidRDefault="002E0961">
            <w:pPr>
              <w:keepNext/>
            </w:pPr>
          </w:p>
        </w:tc>
        <w:tc>
          <w:tcPr>
            <w:tcW w:w="1370" w:type="dxa"/>
            <w:gridSpan w:val="2"/>
            <w:tcBorders>
              <w:top w:val="nil"/>
              <w:left w:val="nil"/>
              <w:bottom w:val="nil"/>
              <w:right w:val="nil"/>
            </w:tcBorders>
            <w:shd w:val="clear" w:color="auto" w:fill="CCEEFF"/>
            <w:tcMar>
              <w:top w:w="0" w:type="dxa"/>
              <w:left w:w="53" w:type="dxa"/>
              <w:bottom w:w="0" w:type="dxa"/>
              <w:right w:w="0" w:type="dxa"/>
            </w:tcMar>
            <w:vAlign w:val="bottom"/>
          </w:tcPr>
          <w:p w14:paraId="1E511C8F" w14:textId="77777777" w:rsidR="002E0961" w:rsidRDefault="00BD0E60">
            <w:pPr>
              <w:keepNext/>
              <w:spacing w:before="75" w:after="30" w:line="200" w:lineRule="auto"/>
              <w:jc w:val="right"/>
            </w:pPr>
            <w:r>
              <w:rPr>
                <w:color w:val="000000"/>
                <w:sz w:val="20"/>
              </w:rPr>
              <w:t>2,198 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8C16481"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E397871" w14:textId="77777777" w:rsidR="002E0961" w:rsidRDefault="002E0961">
            <w:pPr>
              <w:keepNext/>
            </w:pPr>
          </w:p>
        </w:tc>
        <w:tc>
          <w:tcPr>
            <w:tcW w:w="1400" w:type="dxa"/>
            <w:gridSpan w:val="2"/>
            <w:tcBorders>
              <w:top w:val="nil"/>
              <w:left w:val="nil"/>
              <w:bottom w:val="nil"/>
              <w:right w:val="nil"/>
            </w:tcBorders>
            <w:shd w:val="clear" w:color="auto" w:fill="CCEEFF"/>
            <w:tcMar>
              <w:top w:w="0" w:type="dxa"/>
              <w:left w:w="53" w:type="dxa"/>
              <w:bottom w:w="0" w:type="dxa"/>
              <w:right w:w="0" w:type="dxa"/>
            </w:tcMar>
            <w:vAlign w:val="bottom"/>
          </w:tcPr>
          <w:p w14:paraId="1DCE36C8" w14:textId="77777777" w:rsidR="002E0961" w:rsidRDefault="00BD0E60">
            <w:pPr>
              <w:keepNext/>
              <w:spacing w:before="75" w:after="30" w:line="200" w:lineRule="auto"/>
              <w:jc w:val="right"/>
            </w:pPr>
            <w:r>
              <w:rPr>
                <w:color w:val="000000"/>
                <w:sz w:val="20"/>
              </w:rPr>
              <w:t>2,333 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B18652F" w14:textId="77777777" w:rsidR="002E0961" w:rsidRDefault="002E0961">
            <w:pPr>
              <w:keepNext/>
              <w:spacing w:before="75" w:after="30" w:line="200" w:lineRule="auto"/>
            </w:pPr>
          </w:p>
        </w:tc>
      </w:tr>
      <w:tr w:rsidR="002E0961" w14:paraId="394E51CF" w14:textId="77777777">
        <w:trPr>
          <w:cantSplit/>
          <w:trHeight w:hRule="exact" w:val="300"/>
          <w:jc w:val="center"/>
        </w:trPr>
        <w:tc>
          <w:tcPr>
            <w:tcW w:w="6990" w:type="dxa"/>
            <w:tcBorders>
              <w:top w:val="nil"/>
              <w:left w:val="nil"/>
              <w:bottom w:val="nil"/>
              <w:right w:val="nil"/>
            </w:tcBorders>
            <w:shd w:val="clear" w:color="auto" w:fill="FFFFFF"/>
            <w:tcMar>
              <w:top w:w="0" w:type="dxa"/>
              <w:left w:w="53" w:type="dxa"/>
              <w:bottom w:w="0" w:type="dxa"/>
              <w:right w:w="53" w:type="dxa"/>
            </w:tcMar>
            <w:vAlign w:val="bottom"/>
          </w:tcPr>
          <w:p w14:paraId="754B2E18" w14:textId="77777777" w:rsidR="002E0961" w:rsidRDefault="00BD0E60">
            <w:pPr>
              <w:keepNext/>
              <w:spacing w:before="75" w:after="30" w:line="200" w:lineRule="auto"/>
            </w:pPr>
            <w:r>
              <w:rPr>
                <w:color w:val="000000"/>
                <w:sz w:val="20"/>
              </w:rPr>
              <w:t>Explorer total system</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0345776" w14:textId="77777777" w:rsidR="002E0961" w:rsidRDefault="002E0961">
            <w:pPr>
              <w:keepNext/>
            </w:pPr>
          </w:p>
        </w:tc>
        <w:tc>
          <w:tcPr>
            <w:tcW w:w="1370" w:type="dxa"/>
            <w:gridSpan w:val="2"/>
            <w:tcBorders>
              <w:top w:val="nil"/>
              <w:left w:val="nil"/>
              <w:bottom w:val="nil"/>
              <w:right w:val="nil"/>
            </w:tcBorders>
            <w:shd w:val="clear" w:color="auto" w:fill="FFFFFF"/>
            <w:tcMar>
              <w:top w:w="0" w:type="dxa"/>
              <w:left w:w="53" w:type="dxa"/>
              <w:bottom w:w="0" w:type="dxa"/>
              <w:right w:w="0" w:type="dxa"/>
            </w:tcMar>
            <w:vAlign w:val="bottom"/>
          </w:tcPr>
          <w:p w14:paraId="530C36BD" w14:textId="77777777" w:rsidR="002E0961" w:rsidRDefault="00BD0E60">
            <w:pPr>
              <w:keepNext/>
              <w:spacing w:before="75" w:after="30" w:line="200" w:lineRule="auto"/>
              <w:jc w:val="right"/>
            </w:pPr>
            <w:r>
              <w:rPr>
                <w:color w:val="000000"/>
                <w:sz w:val="20"/>
              </w:rPr>
              <w:t>463 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69CC794"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7A14738" w14:textId="77777777" w:rsidR="002E0961" w:rsidRDefault="002E0961">
            <w:pPr>
              <w:keepNext/>
            </w:pPr>
          </w:p>
        </w:tc>
        <w:tc>
          <w:tcPr>
            <w:tcW w:w="1400" w:type="dxa"/>
            <w:gridSpan w:val="2"/>
            <w:tcBorders>
              <w:top w:val="nil"/>
              <w:left w:val="nil"/>
              <w:bottom w:val="nil"/>
              <w:right w:val="nil"/>
            </w:tcBorders>
            <w:shd w:val="clear" w:color="auto" w:fill="FFFFFF"/>
            <w:tcMar>
              <w:top w:w="0" w:type="dxa"/>
              <w:left w:w="53" w:type="dxa"/>
              <w:bottom w:w="0" w:type="dxa"/>
              <w:right w:w="0" w:type="dxa"/>
            </w:tcMar>
            <w:vAlign w:val="bottom"/>
          </w:tcPr>
          <w:p w14:paraId="2135E9A4" w14:textId="77777777" w:rsidR="002E0961" w:rsidRDefault="00BD0E60">
            <w:pPr>
              <w:keepNext/>
              <w:spacing w:before="75" w:after="30" w:line="200" w:lineRule="auto"/>
              <w:jc w:val="right"/>
            </w:pPr>
            <w:r>
              <w:rPr>
                <w:color w:val="000000"/>
                <w:sz w:val="20"/>
              </w:rPr>
              <w:t>443 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C50F832" w14:textId="77777777" w:rsidR="002E0961" w:rsidRDefault="002E0961">
            <w:pPr>
              <w:keepNext/>
              <w:spacing w:before="75" w:after="30" w:line="200" w:lineRule="auto"/>
            </w:pPr>
          </w:p>
        </w:tc>
      </w:tr>
      <w:tr w:rsidR="002E0961" w14:paraId="5C010C45" w14:textId="77777777">
        <w:trPr>
          <w:cantSplit/>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0CA53C28" w14:textId="77777777" w:rsidR="002E0961" w:rsidRDefault="00BD0E60">
            <w:pPr>
              <w:keepNext/>
              <w:spacing w:before="75" w:after="30" w:line="209" w:lineRule="auto"/>
              <w:rPr>
                <w:sz w:val="20"/>
              </w:rPr>
            </w:pPr>
            <w:r>
              <w:rPr>
                <w:sz w:val="20"/>
              </w:rPr>
              <w:t xml:space="preserve">Mattox total system </w:t>
            </w:r>
            <w:r>
              <w:rPr>
                <w:sz w:val="20"/>
                <w:vertAlign w:val="superscript"/>
              </w:rPr>
              <w:t>(2)(3)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A0188B9" w14:textId="77777777" w:rsidR="002E0961" w:rsidRDefault="002E0961">
            <w:pPr>
              <w:keepNext/>
            </w:pPr>
          </w:p>
        </w:tc>
        <w:tc>
          <w:tcPr>
            <w:tcW w:w="1370" w:type="dxa"/>
            <w:gridSpan w:val="2"/>
            <w:tcBorders>
              <w:top w:val="nil"/>
              <w:left w:val="nil"/>
              <w:bottom w:val="nil"/>
              <w:right w:val="nil"/>
            </w:tcBorders>
            <w:shd w:val="clear" w:color="auto" w:fill="CCEEFF"/>
            <w:tcMar>
              <w:top w:w="0" w:type="dxa"/>
              <w:left w:w="53" w:type="dxa"/>
              <w:bottom w:w="0" w:type="dxa"/>
              <w:right w:w="0" w:type="dxa"/>
            </w:tcMar>
            <w:vAlign w:val="bottom"/>
          </w:tcPr>
          <w:p w14:paraId="67E6F1E7" w14:textId="77777777" w:rsidR="002E0961" w:rsidRDefault="00BD0E60">
            <w:pPr>
              <w:keepNext/>
              <w:spacing w:before="75" w:after="30" w:line="200" w:lineRule="auto"/>
              <w:jc w:val="right"/>
            </w:pPr>
            <w:r>
              <w:rPr>
                <w:color w:val="000000"/>
                <w:sz w:val="20"/>
              </w:rPr>
              <w:t>70 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1DB1CD0"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DED0EA2" w14:textId="77777777" w:rsidR="002E0961" w:rsidRDefault="002E0961">
            <w:pPr>
              <w:keepNext/>
            </w:pPr>
          </w:p>
        </w:tc>
        <w:tc>
          <w:tcPr>
            <w:tcW w:w="1400" w:type="dxa"/>
            <w:gridSpan w:val="2"/>
            <w:tcBorders>
              <w:top w:val="nil"/>
              <w:left w:val="nil"/>
              <w:bottom w:val="nil"/>
              <w:right w:val="nil"/>
            </w:tcBorders>
            <w:shd w:val="clear" w:color="auto" w:fill="CCEEFF"/>
            <w:tcMar>
              <w:top w:w="0" w:type="dxa"/>
              <w:left w:w="53" w:type="dxa"/>
              <w:bottom w:w="0" w:type="dxa"/>
              <w:right w:w="0" w:type="dxa"/>
            </w:tcMar>
            <w:vAlign w:val="bottom"/>
          </w:tcPr>
          <w:p w14:paraId="3A574A19" w14:textId="77777777" w:rsidR="002E0961" w:rsidRDefault="00BD0E60">
            <w:pPr>
              <w:keepNext/>
              <w:spacing w:before="75" w:after="30" w:line="200" w:lineRule="auto"/>
              <w:jc w:val="right"/>
            </w:pPr>
            <w:r>
              <w:rPr>
                <w:color w:val="000000"/>
                <w:sz w:val="20"/>
              </w:rPr>
              <w:t>58 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1C274A1" w14:textId="77777777" w:rsidR="002E0961" w:rsidRDefault="002E0961">
            <w:pPr>
              <w:keepNext/>
              <w:spacing w:before="75" w:after="30" w:line="200" w:lineRule="auto"/>
            </w:pPr>
          </w:p>
        </w:tc>
      </w:tr>
      <w:tr w:rsidR="002E0961" w14:paraId="041561FB" w14:textId="77777777">
        <w:trPr>
          <w:cantSplit/>
          <w:trHeight w:hRule="exact" w:val="300"/>
          <w:jc w:val="center"/>
        </w:trPr>
        <w:tc>
          <w:tcPr>
            <w:tcW w:w="6990" w:type="dxa"/>
            <w:tcBorders>
              <w:top w:val="nil"/>
              <w:left w:val="nil"/>
              <w:bottom w:val="nil"/>
              <w:right w:val="nil"/>
            </w:tcBorders>
            <w:shd w:val="clear" w:color="auto" w:fill="FFFFFF"/>
            <w:tcMar>
              <w:top w:w="0" w:type="dxa"/>
              <w:left w:w="53" w:type="dxa"/>
              <w:bottom w:w="0" w:type="dxa"/>
              <w:right w:w="53" w:type="dxa"/>
            </w:tcMar>
            <w:vAlign w:val="bottom"/>
          </w:tcPr>
          <w:p w14:paraId="2F408D5B" w14:textId="77777777" w:rsidR="002E0961" w:rsidRDefault="00BD0E60">
            <w:pPr>
              <w:keepNext/>
              <w:spacing w:before="75" w:after="30" w:line="200" w:lineRule="auto"/>
            </w:pPr>
            <w:r>
              <w:rPr>
                <w:color w:val="000000"/>
                <w:sz w:val="20"/>
              </w:rPr>
              <w:t>LOCAP total system</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A7BB12D" w14:textId="77777777" w:rsidR="002E0961" w:rsidRDefault="002E0961">
            <w:pPr>
              <w:keepNext/>
            </w:pPr>
          </w:p>
        </w:tc>
        <w:tc>
          <w:tcPr>
            <w:tcW w:w="1370" w:type="dxa"/>
            <w:gridSpan w:val="2"/>
            <w:tcBorders>
              <w:top w:val="nil"/>
              <w:left w:val="nil"/>
              <w:bottom w:val="nil"/>
              <w:right w:val="nil"/>
            </w:tcBorders>
            <w:shd w:val="clear" w:color="auto" w:fill="FFFFFF"/>
            <w:tcMar>
              <w:top w:w="0" w:type="dxa"/>
              <w:left w:w="53" w:type="dxa"/>
              <w:bottom w:w="0" w:type="dxa"/>
              <w:right w:w="0" w:type="dxa"/>
            </w:tcMar>
            <w:vAlign w:val="bottom"/>
          </w:tcPr>
          <w:p w14:paraId="5648F25F" w14:textId="77777777" w:rsidR="002E0961" w:rsidRDefault="00BD0E60">
            <w:pPr>
              <w:keepNext/>
              <w:spacing w:before="75" w:after="30" w:line="200" w:lineRule="auto"/>
              <w:jc w:val="right"/>
            </w:pPr>
            <w:r>
              <w:rPr>
                <w:color w:val="000000"/>
                <w:sz w:val="20"/>
              </w:rPr>
              <w:t>955 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7871D59"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57DBC52" w14:textId="77777777" w:rsidR="002E0961" w:rsidRDefault="002E0961">
            <w:pPr>
              <w:keepNext/>
            </w:pPr>
          </w:p>
        </w:tc>
        <w:tc>
          <w:tcPr>
            <w:tcW w:w="1400" w:type="dxa"/>
            <w:gridSpan w:val="2"/>
            <w:tcBorders>
              <w:top w:val="nil"/>
              <w:left w:val="nil"/>
              <w:bottom w:val="nil"/>
              <w:right w:val="nil"/>
            </w:tcBorders>
            <w:shd w:val="clear" w:color="auto" w:fill="FFFFFF"/>
            <w:tcMar>
              <w:top w:w="0" w:type="dxa"/>
              <w:left w:w="53" w:type="dxa"/>
              <w:bottom w:w="0" w:type="dxa"/>
              <w:right w:w="0" w:type="dxa"/>
            </w:tcMar>
            <w:vAlign w:val="bottom"/>
          </w:tcPr>
          <w:p w14:paraId="63AE5939" w14:textId="77777777" w:rsidR="002E0961" w:rsidRDefault="00BD0E60">
            <w:pPr>
              <w:keepNext/>
              <w:spacing w:before="75" w:after="30" w:line="200" w:lineRule="auto"/>
              <w:jc w:val="right"/>
            </w:pPr>
            <w:r>
              <w:rPr>
                <w:color w:val="000000"/>
                <w:sz w:val="20"/>
              </w:rPr>
              <w:t>1,068 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2A1CBD4" w14:textId="77777777" w:rsidR="002E0961" w:rsidRDefault="002E0961">
            <w:pPr>
              <w:keepNext/>
              <w:spacing w:before="75" w:after="30" w:line="200" w:lineRule="auto"/>
            </w:pPr>
          </w:p>
        </w:tc>
      </w:tr>
      <w:tr w:rsidR="002E0961" w14:paraId="6F5C9270" w14:textId="77777777">
        <w:trPr>
          <w:cantSplit/>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435C851E" w14:textId="77777777" w:rsidR="002E0961" w:rsidRDefault="00BD0E60">
            <w:pPr>
              <w:keepNext/>
              <w:spacing w:before="75" w:after="30" w:line="200" w:lineRule="auto"/>
            </w:pPr>
            <w:r>
              <w:rPr>
                <w:color w:val="000000"/>
                <w:sz w:val="20"/>
              </w:rPr>
              <w:t>Other systems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F6BACCF" w14:textId="77777777" w:rsidR="002E0961" w:rsidRDefault="002E0961">
            <w:pPr>
              <w:keepNext/>
            </w:pPr>
          </w:p>
        </w:tc>
        <w:tc>
          <w:tcPr>
            <w:tcW w:w="1370" w:type="dxa"/>
            <w:gridSpan w:val="2"/>
            <w:tcBorders>
              <w:top w:val="nil"/>
              <w:left w:val="nil"/>
              <w:bottom w:val="nil"/>
              <w:right w:val="nil"/>
            </w:tcBorders>
            <w:shd w:val="clear" w:color="auto" w:fill="CCEEFF"/>
            <w:tcMar>
              <w:top w:w="0" w:type="dxa"/>
              <w:left w:w="53" w:type="dxa"/>
              <w:bottom w:w="0" w:type="dxa"/>
              <w:right w:w="0" w:type="dxa"/>
            </w:tcMar>
            <w:vAlign w:val="bottom"/>
          </w:tcPr>
          <w:p w14:paraId="70D16407" w14:textId="77777777" w:rsidR="002E0961" w:rsidRDefault="00BD0E60">
            <w:pPr>
              <w:keepNext/>
              <w:spacing w:before="75" w:after="30" w:line="200" w:lineRule="auto"/>
              <w:jc w:val="right"/>
            </w:pPr>
            <w:r>
              <w:rPr>
                <w:color w:val="000000"/>
                <w:sz w:val="20"/>
              </w:rPr>
              <w:t>399 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BF750CA"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9E30CC1" w14:textId="77777777" w:rsidR="002E0961" w:rsidRDefault="002E0961">
            <w:pPr>
              <w:keepNext/>
            </w:pPr>
          </w:p>
        </w:tc>
        <w:tc>
          <w:tcPr>
            <w:tcW w:w="1400" w:type="dxa"/>
            <w:gridSpan w:val="2"/>
            <w:tcBorders>
              <w:top w:val="nil"/>
              <w:left w:val="nil"/>
              <w:bottom w:val="nil"/>
              <w:right w:val="nil"/>
            </w:tcBorders>
            <w:shd w:val="clear" w:color="auto" w:fill="CCEEFF"/>
            <w:tcMar>
              <w:top w:w="0" w:type="dxa"/>
              <w:left w:w="53" w:type="dxa"/>
              <w:bottom w:w="0" w:type="dxa"/>
              <w:right w:w="0" w:type="dxa"/>
            </w:tcMar>
            <w:vAlign w:val="bottom"/>
          </w:tcPr>
          <w:p w14:paraId="266D2ADF" w14:textId="77777777" w:rsidR="002E0961" w:rsidRDefault="00BD0E60">
            <w:pPr>
              <w:keepNext/>
              <w:spacing w:before="75" w:after="30" w:line="200" w:lineRule="auto"/>
              <w:jc w:val="right"/>
            </w:pPr>
            <w:r>
              <w:rPr>
                <w:color w:val="000000"/>
                <w:sz w:val="20"/>
              </w:rPr>
              <w:t>417 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5126FEC" w14:textId="77777777" w:rsidR="002E0961" w:rsidRDefault="002E0961">
            <w:pPr>
              <w:keepNext/>
              <w:spacing w:before="75" w:after="30" w:line="200" w:lineRule="auto"/>
            </w:pPr>
          </w:p>
        </w:tc>
      </w:tr>
      <w:tr w:rsidR="002E0961" w14:paraId="60F6A830" w14:textId="77777777">
        <w:trPr>
          <w:cantSplit/>
          <w:trHeight w:hRule="exact" w:val="300"/>
          <w:jc w:val="center"/>
        </w:trPr>
        <w:tc>
          <w:tcPr>
            <w:tcW w:w="6990" w:type="dxa"/>
            <w:tcBorders>
              <w:top w:val="nil"/>
              <w:left w:val="nil"/>
              <w:bottom w:val="nil"/>
              <w:right w:val="nil"/>
            </w:tcBorders>
            <w:shd w:val="clear" w:color="auto" w:fill="FFFFFF"/>
            <w:tcMar>
              <w:top w:w="0" w:type="dxa"/>
              <w:left w:w="0" w:type="dxa"/>
              <w:bottom w:w="0" w:type="dxa"/>
              <w:right w:w="0" w:type="dxa"/>
            </w:tcMar>
            <w:vAlign w:val="bottom"/>
          </w:tcPr>
          <w:p w14:paraId="4D6ACD7F" w14:textId="77777777" w:rsidR="002E0961" w:rsidRDefault="002E0961">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55A4FE4" w14:textId="77777777" w:rsidR="002E0961" w:rsidRDefault="002E0961">
            <w:pPr>
              <w:keepNext/>
            </w:pPr>
          </w:p>
        </w:tc>
        <w:tc>
          <w:tcPr>
            <w:tcW w:w="1470" w:type="dxa"/>
            <w:gridSpan w:val="3"/>
            <w:tcBorders>
              <w:top w:val="nil"/>
              <w:left w:val="nil"/>
              <w:bottom w:val="nil"/>
              <w:right w:val="nil"/>
            </w:tcBorders>
            <w:shd w:val="clear" w:color="auto" w:fill="FFFFFF"/>
            <w:tcMar>
              <w:top w:w="0" w:type="dxa"/>
              <w:left w:w="0" w:type="dxa"/>
              <w:bottom w:w="0" w:type="dxa"/>
              <w:right w:w="0" w:type="dxa"/>
            </w:tcMar>
            <w:vAlign w:val="bottom"/>
          </w:tcPr>
          <w:p w14:paraId="44B78DA2" w14:textId="77777777" w:rsidR="002E0961" w:rsidRDefault="002E0961">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0C15558" w14:textId="77777777" w:rsidR="002E0961" w:rsidRDefault="002E0961">
            <w:pPr>
              <w:keepNext/>
            </w:pPr>
          </w:p>
        </w:tc>
        <w:tc>
          <w:tcPr>
            <w:tcW w:w="1500" w:type="dxa"/>
            <w:gridSpan w:val="3"/>
            <w:tcBorders>
              <w:top w:val="nil"/>
              <w:left w:val="nil"/>
              <w:bottom w:val="nil"/>
              <w:right w:val="nil"/>
            </w:tcBorders>
            <w:shd w:val="clear" w:color="auto" w:fill="FFFFFF"/>
            <w:tcMar>
              <w:top w:w="0" w:type="dxa"/>
              <w:left w:w="0" w:type="dxa"/>
              <w:bottom w:w="0" w:type="dxa"/>
              <w:right w:w="0" w:type="dxa"/>
            </w:tcMar>
            <w:vAlign w:val="bottom"/>
          </w:tcPr>
          <w:p w14:paraId="23F3F47A" w14:textId="77777777" w:rsidR="002E0961" w:rsidRDefault="002E0961">
            <w:pPr>
              <w:keepNext/>
            </w:pPr>
          </w:p>
        </w:tc>
      </w:tr>
      <w:tr w:rsidR="002E0961" w14:paraId="65612E8F" w14:textId="77777777">
        <w:trPr>
          <w:cantSplit/>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719F184B" w14:textId="77777777" w:rsidR="002E0961" w:rsidRDefault="00BD0E60">
            <w:pPr>
              <w:keepNext/>
              <w:spacing w:before="75" w:after="30" w:line="209" w:lineRule="auto"/>
              <w:rPr>
                <w:b/>
                <w:sz w:val="20"/>
              </w:rPr>
            </w:pPr>
            <w:r>
              <w:rPr>
                <w:b/>
                <w:sz w:val="20"/>
              </w:rPr>
              <w:t>Terminals</w:t>
            </w:r>
            <w:r>
              <w:rPr>
                <w:b/>
                <w:sz w:val="20"/>
                <w:vertAlign w:val="superscript"/>
              </w:rPr>
              <w:t xml:space="preserve"> (4)(5)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F73F3CC" w14:textId="77777777" w:rsidR="002E0961" w:rsidRDefault="002E0961">
            <w:pPr>
              <w:keepNext/>
            </w:pPr>
          </w:p>
        </w:tc>
        <w:tc>
          <w:tcPr>
            <w:tcW w:w="1470" w:type="dxa"/>
            <w:gridSpan w:val="3"/>
            <w:tcBorders>
              <w:top w:val="nil"/>
              <w:left w:val="nil"/>
              <w:bottom w:val="nil"/>
              <w:right w:val="nil"/>
            </w:tcBorders>
            <w:shd w:val="clear" w:color="auto" w:fill="CCEEFF"/>
            <w:tcMar>
              <w:top w:w="0" w:type="dxa"/>
              <w:left w:w="0" w:type="dxa"/>
              <w:bottom w:w="0" w:type="dxa"/>
              <w:right w:w="0" w:type="dxa"/>
            </w:tcMar>
            <w:vAlign w:val="bottom"/>
          </w:tcPr>
          <w:p w14:paraId="1E5CD15F" w14:textId="77777777" w:rsidR="002E0961" w:rsidRDefault="002E0961">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9D8F184" w14:textId="77777777" w:rsidR="002E0961" w:rsidRDefault="002E0961">
            <w:pPr>
              <w:keepNext/>
            </w:pPr>
          </w:p>
        </w:tc>
        <w:tc>
          <w:tcPr>
            <w:tcW w:w="1500" w:type="dxa"/>
            <w:gridSpan w:val="3"/>
            <w:tcBorders>
              <w:top w:val="nil"/>
              <w:left w:val="nil"/>
              <w:bottom w:val="nil"/>
              <w:right w:val="nil"/>
            </w:tcBorders>
            <w:shd w:val="clear" w:color="auto" w:fill="CCEEFF"/>
            <w:tcMar>
              <w:top w:w="0" w:type="dxa"/>
              <w:left w:w="0" w:type="dxa"/>
              <w:bottom w:w="0" w:type="dxa"/>
              <w:right w:w="0" w:type="dxa"/>
            </w:tcMar>
            <w:vAlign w:val="bottom"/>
          </w:tcPr>
          <w:p w14:paraId="42B64426" w14:textId="77777777" w:rsidR="002E0961" w:rsidRDefault="002E0961">
            <w:pPr>
              <w:keepNext/>
            </w:pPr>
          </w:p>
        </w:tc>
      </w:tr>
      <w:tr w:rsidR="002E0961" w14:paraId="2687594A" w14:textId="77777777">
        <w:trPr>
          <w:cantSplit/>
          <w:trHeight w:hRule="exact" w:val="300"/>
          <w:jc w:val="center"/>
        </w:trPr>
        <w:tc>
          <w:tcPr>
            <w:tcW w:w="6990" w:type="dxa"/>
            <w:tcBorders>
              <w:top w:val="nil"/>
              <w:left w:val="nil"/>
              <w:bottom w:val="nil"/>
              <w:right w:val="nil"/>
            </w:tcBorders>
            <w:shd w:val="clear" w:color="auto" w:fill="FFFFFF"/>
            <w:tcMar>
              <w:top w:w="0" w:type="dxa"/>
              <w:left w:w="53" w:type="dxa"/>
              <w:bottom w:w="0" w:type="dxa"/>
              <w:right w:w="53" w:type="dxa"/>
            </w:tcMar>
            <w:vAlign w:val="bottom"/>
          </w:tcPr>
          <w:p w14:paraId="5C440C19" w14:textId="77777777" w:rsidR="002E0961" w:rsidRDefault="00BD0E60">
            <w:pPr>
              <w:keepNext/>
              <w:spacing w:before="75" w:after="30" w:line="200" w:lineRule="auto"/>
            </w:pPr>
            <w:r>
              <w:rPr>
                <w:color w:val="000000"/>
                <w:sz w:val="20"/>
              </w:rPr>
              <w:t xml:space="preserve">Lockport </w:t>
            </w:r>
            <w:proofErr w:type="spellStart"/>
            <w:r>
              <w:rPr>
                <w:color w:val="000000"/>
                <w:sz w:val="20"/>
              </w:rPr>
              <w:t>terminaling</w:t>
            </w:r>
            <w:proofErr w:type="spellEnd"/>
            <w:r>
              <w:rPr>
                <w:color w:val="000000"/>
                <w:sz w:val="20"/>
              </w:rPr>
              <w:t xml:space="preserve"> throughput and storage volumes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991075B" w14:textId="77777777" w:rsidR="002E0961" w:rsidRDefault="002E0961">
            <w:pPr>
              <w:keepNext/>
            </w:pPr>
          </w:p>
        </w:tc>
        <w:tc>
          <w:tcPr>
            <w:tcW w:w="1370" w:type="dxa"/>
            <w:gridSpan w:val="2"/>
            <w:tcBorders>
              <w:top w:val="nil"/>
              <w:left w:val="nil"/>
              <w:bottom w:val="nil"/>
              <w:right w:val="nil"/>
            </w:tcBorders>
            <w:shd w:val="clear" w:color="auto" w:fill="FFFFFF"/>
            <w:tcMar>
              <w:top w:w="0" w:type="dxa"/>
              <w:left w:w="53" w:type="dxa"/>
              <w:bottom w:w="0" w:type="dxa"/>
              <w:right w:w="0" w:type="dxa"/>
            </w:tcMar>
            <w:vAlign w:val="bottom"/>
          </w:tcPr>
          <w:p w14:paraId="0BD3F398" w14:textId="77777777" w:rsidR="002E0961" w:rsidRDefault="00BD0E60">
            <w:pPr>
              <w:keepNext/>
              <w:spacing w:before="75" w:after="30" w:line="200" w:lineRule="auto"/>
              <w:jc w:val="right"/>
            </w:pPr>
            <w:r>
              <w:rPr>
                <w:color w:val="000000"/>
                <w:sz w:val="20"/>
              </w:rPr>
              <w:t>208 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D34D746"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F337617" w14:textId="77777777" w:rsidR="002E0961" w:rsidRDefault="002E0961">
            <w:pPr>
              <w:keepNext/>
            </w:pPr>
          </w:p>
        </w:tc>
        <w:tc>
          <w:tcPr>
            <w:tcW w:w="1400" w:type="dxa"/>
            <w:gridSpan w:val="2"/>
            <w:tcBorders>
              <w:top w:val="nil"/>
              <w:left w:val="nil"/>
              <w:bottom w:val="nil"/>
              <w:right w:val="nil"/>
            </w:tcBorders>
            <w:shd w:val="clear" w:color="auto" w:fill="FFFFFF"/>
            <w:tcMar>
              <w:top w:w="0" w:type="dxa"/>
              <w:left w:w="53" w:type="dxa"/>
              <w:bottom w:w="0" w:type="dxa"/>
              <w:right w:w="0" w:type="dxa"/>
            </w:tcMar>
            <w:vAlign w:val="bottom"/>
          </w:tcPr>
          <w:p w14:paraId="04462C26" w14:textId="77777777" w:rsidR="002E0961" w:rsidRDefault="00BD0E60">
            <w:pPr>
              <w:keepNext/>
              <w:spacing w:before="75" w:after="30" w:line="200" w:lineRule="auto"/>
              <w:jc w:val="right"/>
            </w:pPr>
            <w:r>
              <w:rPr>
                <w:color w:val="000000"/>
                <w:sz w:val="20"/>
              </w:rPr>
              <w:t>207 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3184E7A" w14:textId="77777777" w:rsidR="002E0961" w:rsidRDefault="002E0961">
            <w:pPr>
              <w:keepNext/>
              <w:spacing w:before="75" w:after="30" w:line="200" w:lineRule="auto"/>
            </w:pPr>
          </w:p>
        </w:tc>
      </w:tr>
      <w:tr w:rsidR="002E0961" w14:paraId="0496D49E" w14:textId="77777777">
        <w:trPr>
          <w:cantSplit/>
          <w:trHeight w:hRule="exact" w:val="300"/>
          <w:jc w:val="center"/>
        </w:trPr>
        <w:tc>
          <w:tcPr>
            <w:tcW w:w="6990" w:type="dxa"/>
            <w:tcBorders>
              <w:top w:val="nil"/>
              <w:left w:val="nil"/>
              <w:bottom w:val="nil"/>
              <w:right w:val="nil"/>
            </w:tcBorders>
            <w:shd w:val="clear" w:color="auto" w:fill="CCEEFF"/>
            <w:tcMar>
              <w:top w:w="0" w:type="dxa"/>
              <w:left w:w="0" w:type="dxa"/>
              <w:bottom w:w="0" w:type="dxa"/>
              <w:right w:w="0" w:type="dxa"/>
            </w:tcMar>
            <w:vAlign w:val="bottom"/>
          </w:tcPr>
          <w:p w14:paraId="317943DA" w14:textId="77777777" w:rsidR="002E0961" w:rsidRDefault="002E0961">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42CBF1D" w14:textId="77777777" w:rsidR="002E0961" w:rsidRDefault="002E0961">
            <w:pPr>
              <w:keepNext/>
            </w:pPr>
          </w:p>
        </w:tc>
        <w:tc>
          <w:tcPr>
            <w:tcW w:w="1470" w:type="dxa"/>
            <w:gridSpan w:val="3"/>
            <w:tcBorders>
              <w:top w:val="nil"/>
              <w:left w:val="nil"/>
              <w:bottom w:val="nil"/>
              <w:right w:val="nil"/>
            </w:tcBorders>
            <w:shd w:val="clear" w:color="auto" w:fill="CCEEFF"/>
            <w:tcMar>
              <w:top w:w="0" w:type="dxa"/>
              <w:left w:w="0" w:type="dxa"/>
              <w:bottom w:w="0" w:type="dxa"/>
              <w:right w:w="0" w:type="dxa"/>
            </w:tcMar>
            <w:vAlign w:val="bottom"/>
          </w:tcPr>
          <w:p w14:paraId="13AC88DD" w14:textId="77777777" w:rsidR="002E0961" w:rsidRDefault="002E0961">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D0B4B25" w14:textId="77777777" w:rsidR="002E0961" w:rsidRDefault="002E0961">
            <w:pPr>
              <w:keepNext/>
            </w:pPr>
          </w:p>
        </w:tc>
        <w:tc>
          <w:tcPr>
            <w:tcW w:w="1500" w:type="dxa"/>
            <w:gridSpan w:val="3"/>
            <w:tcBorders>
              <w:top w:val="nil"/>
              <w:left w:val="nil"/>
              <w:bottom w:val="nil"/>
              <w:right w:val="nil"/>
            </w:tcBorders>
            <w:shd w:val="clear" w:color="auto" w:fill="CCEEFF"/>
            <w:tcMar>
              <w:top w:w="0" w:type="dxa"/>
              <w:left w:w="0" w:type="dxa"/>
              <w:bottom w:w="0" w:type="dxa"/>
              <w:right w:w="0" w:type="dxa"/>
            </w:tcMar>
            <w:vAlign w:val="bottom"/>
          </w:tcPr>
          <w:p w14:paraId="154EA183" w14:textId="77777777" w:rsidR="002E0961" w:rsidRDefault="002E0961">
            <w:pPr>
              <w:keepNext/>
            </w:pPr>
          </w:p>
        </w:tc>
      </w:tr>
      <w:tr w:rsidR="002E0961" w14:paraId="0D5EB4F1" w14:textId="77777777">
        <w:trPr>
          <w:cantSplit/>
          <w:trHeight w:hRule="exact" w:val="300"/>
          <w:jc w:val="center"/>
        </w:trPr>
        <w:tc>
          <w:tcPr>
            <w:tcW w:w="6990" w:type="dxa"/>
            <w:tcBorders>
              <w:top w:val="nil"/>
              <w:left w:val="nil"/>
              <w:bottom w:val="nil"/>
              <w:right w:val="nil"/>
            </w:tcBorders>
            <w:shd w:val="clear" w:color="auto" w:fill="FFFFFF"/>
            <w:tcMar>
              <w:top w:w="0" w:type="dxa"/>
              <w:left w:w="53" w:type="dxa"/>
              <w:bottom w:w="0" w:type="dxa"/>
              <w:right w:w="53" w:type="dxa"/>
            </w:tcMar>
            <w:vAlign w:val="bottom"/>
          </w:tcPr>
          <w:p w14:paraId="29676374" w14:textId="77777777" w:rsidR="002E0961" w:rsidRDefault="00BD0E60">
            <w:pPr>
              <w:keepNext/>
              <w:spacing w:before="75" w:after="30" w:line="200" w:lineRule="auto"/>
            </w:pPr>
            <w:r>
              <w:rPr>
                <w:b/>
                <w:color w:val="000000"/>
                <w:sz w:val="20"/>
              </w:rPr>
              <w:t>Revenue per barrel ($ per barrel)</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E5F1980" w14:textId="77777777" w:rsidR="002E0961" w:rsidRDefault="002E0961">
            <w:pPr>
              <w:keepNext/>
            </w:pPr>
          </w:p>
        </w:tc>
        <w:tc>
          <w:tcPr>
            <w:tcW w:w="1470" w:type="dxa"/>
            <w:gridSpan w:val="3"/>
            <w:tcBorders>
              <w:top w:val="nil"/>
              <w:left w:val="nil"/>
              <w:bottom w:val="nil"/>
              <w:right w:val="nil"/>
            </w:tcBorders>
            <w:shd w:val="clear" w:color="auto" w:fill="FFFFFF"/>
            <w:tcMar>
              <w:top w:w="0" w:type="dxa"/>
              <w:left w:w="0" w:type="dxa"/>
              <w:bottom w:w="0" w:type="dxa"/>
              <w:right w:w="0" w:type="dxa"/>
            </w:tcMar>
            <w:vAlign w:val="bottom"/>
          </w:tcPr>
          <w:p w14:paraId="216244D4" w14:textId="77777777" w:rsidR="002E0961" w:rsidRDefault="002E0961">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1F74046" w14:textId="77777777" w:rsidR="002E0961" w:rsidRDefault="002E0961">
            <w:pPr>
              <w:keepNext/>
            </w:pPr>
          </w:p>
        </w:tc>
        <w:tc>
          <w:tcPr>
            <w:tcW w:w="1500" w:type="dxa"/>
            <w:gridSpan w:val="3"/>
            <w:tcBorders>
              <w:top w:val="nil"/>
              <w:left w:val="nil"/>
              <w:bottom w:val="nil"/>
              <w:right w:val="nil"/>
            </w:tcBorders>
            <w:shd w:val="clear" w:color="auto" w:fill="FFFFFF"/>
            <w:tcMar>
              <w:top w:w="0" w:type="dxa"/>
              <w:left w:w="0" w:type="dxa"/>
              <w:bottom w:w="0" w:type="dxa"/>
              <w:right w:w="0" w:type="dxa"/>
            </w:tcMar>
            <w:vAlign w:val="bottom"/>
          </w:tcPr>
          <w:p w14:paraId="15698D4E" w14:textId="77777777" w:rsidR="002E0961" w:rsidRDefault="002E0961">
            <w:pPr>
              <w:keepNext/>
            </w:pPr>
          </w:p>
        </w:tc>
      </w:tr>
      <w:tr w:rsidR="002E0961" w14:paraId="44CC2F2C" w14:textId="77777777">
        <w:trPr>
          <w:cantSplit/>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05503F98" w14:textId="77777777" w:rsidR="002E0961" w:rsidRDefault="00BD0E60">
            <w:pPr>
              <w:keepNext/>
              <w:spacing w:before="75" w:after="30" w:line="209" w:lineRule="auto"/>
              <w:rPr>
                <w:sz w:val="20"/>
              </w:rPr>
            </w:pPr>
            <w:r>
              <w:rPr>
                <w:sz w:val="20"/>
              </w:rPr>
              <w:t>Zydeco total system</w:t>
            </w:r>
            <w:r>
              <w:rPr>
                <w:sz w:val="20"/>
                <w:vertAlign w:val="superscript"/>
              </w:rPr>
              <w:t xml:space="preserve"> (6)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2A46CFA" w14:textId="77777777" w:rsidR="002E0961" w:rsidRDefault="002E0961">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28F5ACF5" w14:textId="77777777" w:rsidR="002E0961" w:rsidRDefault="00BD0E60">
            <w:pPr>
              <w:keepNext/>
              <w:spacing w:before="75" w:after="30" w:line="200" w:lineRule="auto"/>
            </w:pPr>
            <w:r>
              <w:rPr>
                <w:color w:val="000000"/>
                <w:sz w:val="20"/>
              </w:rPr>
              <w:t>$</w:t>
            </w:r>
          </w:p>
        </w:tc>
        <w:tc>
          <w:tcPr>
            <w:tcW w:w="1210" w:type="dxa"/>
            <w:tcBorders>
              <w:top w:val="nil"/>
              <w:left w:val="nil"/>
              <w:bottom w:val="nil"/>
              <w:right w:val="nil"/>
            </w:tcBorders>
            <w:shd w:val="clear" w:color="auto" w:fill="CCEEFF"/>
            <w:tcMar>
              <w:top w:w="0" w:type="dxa"/>
              <w:left w:w="0" w:type="dxa"/>
              <w:bottom w:w="0" w:type="dxa"/>
              <w:right w:w="0" w:type="dxa"/>
            </w:tcMar>
            <w:vAlign w:val="bottom"/>
          </w:tcPr>
          <w:p w14:paraId="73F8E979" w14:textId="77777777" w:rsidR="002E0961" w:rsidRDefault="00BD0E60">
            <w:pPr>
              <w:keepNext/>
              <w:spacing w:before="75" w:after="30" w:line="200" w:lineRule="auto"/>
              <w:jc w:val="right"/>
            </w:pPr>
            <w:r>
              <w:rPr>
                <w:color w:val="000000"/>
                <w:sz w:val="20"/>
              </w:rPr>
              <w:t>0.47 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F21C92F"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E2FDE3A" w14:textId="77777777" w:rsidR="002E0961" w:rsidRDefault="002E0961">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4D6D1BDB" w14:textId="77777777" w:rsidR="002E0961" w:rsidRDefault="00BD0E60">
            <w:pPr>
              <w:keepNext/>
              <w:spacing w:before="75" w:after="30" w:line="200" w:lineRule="auto"/>
            </w:pPr>
            <w:r>
              <w:rPr>
                <w:color w:val="000000"/>
                <w:sz w:val="20"/>
              </w:rPr>
              <w:t>$</w:t>
            </w:r>
          </w:p>
        </w:tc>
        <w:tc>
          <w:tcPr>
            <w:tcW w:w="1240" w:type="dxa"/>
            <w:tcBorders>
              <w:top w:val="nil"/>
              <w:left w:val="nil"/>
              <w:bottom w:val="nil"/>
              <w:right w:val="nil"/>
            </w:tcBorders>
            <w:shd w:val="clear" w:color="auto" w:fill="CCEEFF"/>
            <w:tcMar>
              <w:top w:w="0" w:type="dxa"/>
              <w:left w:w="0" w:type="dxa"/>
              <w:bottom w:w="0" w:type="dxa"/>
              <w:right w:w="0" w:type="dxa"/>
            </w:tcMar>
            <w:vAlign w:val="bottom"/>
          </w:tcPr>
          <w:p w14:paraId="6DD270A8" w14:textId="77777777" w:rsidR="002E0961" w:rsidRDefault="00BD0E60">
            <w:pPr>
              <w:keepNext/>
              <w:spacing w:before="75" w:after="30" w:line="200" w:lineRule="auto"/>
              <w:jc w:val="right"/>
            </w:pPr>
            <w:r>
              <w:rPr>
                <w:color w:val="000000"/>
                <w:sz w:val="20"/>
              </w:rPr>
              <w:t>0.48 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D38BD8A" w14:textId="77777777" w:rsidR="002E0961" w:rsidRDefault="002E0961">
            <w:pPr>
              <w:keepNext/>
              <w:spacing w:before="75" w:after="30" w:line="200" w:lineRule="auto"/>
            </w:pPr>
          </w:p>
        </w:tc>
      </w:tr>
      <w:tr w:rsidR="002E0961" w14:paraId="63EF6E13" w14:textId="77777777">
        <w:trPr>
          <w:cantSplit/>
          <w:trHeight w:hRule="exact" w:val="300"/>
          <w:jc w:val="center"/>
        </w:trPr>
        <w:tc>
          <w:tcPr>
            <w:tcW w:w="6990" w:type="dxa"/>
            <w:tcBorders>
              <w:top w:val="nil"/>
              <w:left w:val="nil"/>
              <w:bottom w:val="nil"/>
              <w:right w:val="nil"/>
            </w:tcBorders>
            <w:shd w:val="clear" w:color="auto" w:fill="FFFFFF"/>
            <w:tcMar>
              <w:top w:w="0" w:type="dxa"/>
              <w:left w:w="53" w:type="dxa"/>
              <w:bottom w:w="0" w:type="dxa"/>
              <w:right w:w="53" w:type="dxa"/>
            </w:tcMar>
            <w:vAlign w:val="bottom"/>
          </w:tcPr>
          <w:p w14:paraId="683A953B" w14:textId="77777777" w:rsidR="002E0961" w:rsidRDefault="00BD0E60">
            <w:pPr>
              <w:keepNext/>
              <w:spacing w:before="75" w:after="30" w:line="209" w:lineRule="auto"/>
              <w:rPr>
                <w:sz w:val="20"/>
              </w:rPr>
            </w:pPr>
            <w:r>
              <w:rPr>
                <w:sz w:val="20"/>
              </w:rPr>
              <w:t xml:space="preserve">Amberjack total system </w:t>
            </w:r>
            <w:r>
              <w:rPr>
                <w:sz w:val="20"/>
                <w:vertAlign w:val="superscript"/>
              </w:rPr>
              <w:t>(6)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A7BE801" w14:textId="77777777" w:rsidR="002E0961" w:rsidRDefault="002E0961">
            <w:pPr>
              <w:keepNext/>
            </w:pPr>
          </w:p>
        </w:tc>
        <w:tc>
          <w:tcPr>
            <w:tcW w:w="1370" w:type="dxa"/>
            <w:gridSpan w:val="2"/>
            <w:tcBorders>
              <w:top w:val="nil"/>
              <w:left w:val="nil"/>
              <w:bottom w:val="nil"/>
              <w:right w:val="nil"/>
            </w:tcBorders>
            <w:shd w:val="clear" w:color="auto" w:fill="FFFFFF"/>
            <w:tcMar>
              <w:top w:w="0" w:type="dxa"/>
              <w:left w:w="53" w:type="dxa"/>
              <w:bottom w:w="0" w:type="dxa"/>
              <w:right w:w="0" w:type="dxa"/>
            </w:tcMar>
            <w:vAlign w:val="bottom"/>
          </w:tcPr>
          <w:p w14:paraId="6E803398" w14:textId="77777777" w:rsidR="002E0961" w:rsidRDefault="00BD0E60">
            <w:pPr>
              <w:keepNext/>
              <w:spacing w:before="75" w:after="30" w:line="200" w:lineRule="auto"/>
              <w:jc w:val="right"/>
            </w:pPr>
            <w:r>
              <w:rPr>
                <w:color w:val="000000"/>
                <w:sz w:val="20"/>
              </w:rPr>
              <w:t>2.33 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7484821"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B03E1D8" w14:textId="77777777" w:rsidR="002E0961" w:rsidRDefault="002E0961">
            <w:pPr>
              <w:keepNext/>
            </w:pPr>
          </w:p>
        </w:tc>
        <w:tc>
          <w:tcPr>
            <w:tcW w:w="1400" w:type="dxa"/>
            <w:gridSpan w:val="2"/>
            <w:tcBorders>
              <w:top w:val="nil"/>
              <w:left w:val="nil"/>
              <w:bottom w:val="nil"/>
              <w:right w:val="nil"/>
            </w:tcBorders>
            <w:shd w:val="clear" w:color="auto" w:fill="FFFFFF"/>
            <w:tcMar>
              <w:top w:w="0" w:type="dxa"/>
              <w:left w:w="53" w:type="dxa"/>
              <w:bottom w:w="0" w:type="dxa"/>
              <w:right w:w="0" w:type="dxa"/>
            </w:tcMar>
            <w:vAlign w:val="bottom"/>
          </w:tcPr>
          <w:p w14:paraId="1EFBFCBA" w14:textId="77777777" w:rsidR="002E0961" w:rsidRDefault="00BD0E60">
            <w:pPr>
              <w:keepNext/>
              <w:spacing w:before="75" w:after="30" w:line="200" w:lineRule="auto"/>
              <w:jc w:val="right"/>
            </w:pPr>
            <w:r>
              <w:rPr>
                <w:color w:val="000000"/>
                <w:sz w:val="20"/>
              </w:rPr>
              <w:t>2.39 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41B3C91" w14:textId="77777777" w:rsidR="002E0961" w:rsidRDefault="002E0961">
            <w:pPr>
              <w:keepNext/>
              <w:spacing w:before="75" w:after="30" w:line="200" w:lineRule="auto"/>
            </w:pPr>
          </w:p>
        </w:tc>
      </w:tr>
      <w:tr w:rsidR="002E0961" w14:paraId="1564D6AA" w14:textId="77777777">
        <w:trPr>
          <w:cantSplit/>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735EC237" w14:textId="77777777" w:rsidR="002E0961" w:rsidRDefault="00BD0E60">
            <w:pPr>
              <w:keepNext/>
              <w:spacing w:before="75" w:after="30" w:line="209" w:lineRule="auto"/>
              <w:rPr>
                <w:sz w:val="20"/>
              </w:rPr>
            </w:pPr>
            <w:r>
              <w:rPr>
                <w:sz w:val="20"/>
              </w:rPr>
              <w:t>Mars total system</w:t>
            </w:r>
            <w:r>
              <w:rPr>
                <w:sz w:val="20"/>
                <w:vertAlign w:val="superscript"/>
              </w:rPr>
              <w:t xml:space="preserve"> (6)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54DA6BA" w14:textId="77777777" w:rsidR="002E0961" w:rsidRDefault="002E0961">
            <w:pPr>
              <w:keepNext/>
            </w:pPr>
          </w:p>
        </w:tc>
        <w:tc>
          <w:tcPr>
            <w:tcW w:w="1370" w:type="dxa"/>
            <w:gridSpan w:val="2"/>
            <w:tcBorders>
              <w:top w:val="nil"/>
              <w:left w:val="nil"/>
              <w:bottom w:val="nil"/>
              <w:right w:val="nil"/>
            </w:tcBorders>
            <w:shd w:val="clear" w:color="auto" w:fill="CCEEFF"/>
            <w:tcMar>
              <w:top w:w="0" w:type="dxa"/>
              <w:left w:w="53" w:type="dxa"/>
              <w:bottom w:w="0" w:type="dxa"/>
              <w:right w:w="0" w:type="dxa"/>
            </w:tcMar>
            <w:vAlign w:val="bottom"/>
          </w:tcPr>
          <w:p w14:paraId="5F01F307" w14:textId="77777777" w:rsidR="002E0961" w:rsidRDefault="00BD0E60">
            <w:pPr>
              <w:keepNext/>
              <w:spacing w:before="75" w:after="30" w:line="200" w:lineRule="auto"/>
              <w:jc w:val="right"/>
            </w:pPr>
            <w:r>
              <w:rPr>
                <w:color w:val="000000"/>
                <w:sz w:val="20"/>
              </w:rPr>
              <w:t>1.17 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8D53BFE"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76B610E" w14:textId="77777777" w:rsidR="002E0961" w:rsidRDefault="002E0961">
            <w:pPr>
              <w:keepNext/>
            </w:pPr>
          </w:p>
        </w:tc>
        <w:tc>
          <w:tcPr>
            <w:tcW w:w="1400" w:type="dxa"/>
            <w:gridSpan w:val="2"/>
            <w:tcBorders>
              <w:top w:val="nil"/>
              <w:left w:val="nil"/>
              <w:bottom w:val="nil"/>
              <w:right w:val="nil"/>
            </w:tcBorders>
            <w:shd w:val="clear" w:color="auto" w:fill="CCEEFF"/>
            <w:tcMar>
              <w:top w:w="0" w:type="dxa"/>
              <w:left w:w="53" w:type="dxa"/>
              <w:bottom w:w="0" w:type="dxa"/>
              <w:right w:w="0" w:type="dxa"/>
            </w:tcMar>
            <w:vAlign w:val="bottom"/>
          </w:tcPr>
          <w:p w14:paraId="4D77317F" w14:textId="77777777" w:rsidR="002E0961" w:rsidRDefault="00BD0E60">
            <w:pPr>
              <w:keepNext/>
              <w:spacing w:before="75" w:after="30" w:line="200" w:lineRule="auto"/>
              <w:jc w:val="right"/>
            </w:pPr>
            <w:r>
              <w:rPr>
                <w:color w:val="000000"/>
                <w:sz w:val="20"/>
              </w:rPr>
              <w:t>1.36 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0B2C60D" w14:textId="77777777" w:rsidR="002E0961" w:rsidRDefault="002E0961">
            <w:pPr>
              <w:keepNext/>
              <w:spacing w:before="75" w:after="30" w:line="200" w:lineRule="auto"/>
            </w:pPr>
          </w:p>
        </w:tc>
      </w:tr>
      <w:tr w:rsidR="002E0961" w14:paraId="6057FAE8" w14:textId="77777777">
        <w:trPr>
          <w:cantSplit/>
          <w:trHeight w:hRule="exact" w:val="300"/>
          <w:jc w:val="center"/>
        </w:trPr>
        <w:tc>
          <w:tcPr>
            <w:tcW w:w="6990" w:type="dxa"/>
            <w:tcBorders>
              <w:top w:val="nil"/>
              <w:left w:val="nil"/>
              <w:bottom w:val="nil"/>
              <w:right w:val="nil"/>
            </w:tcBorders>
            <w:shd w:val="clear" w:color="auto" w:fill="FFFFFF"/>
            <w:tcMar>
              <w:top w:w="0" w:type="dxa"/>
              <w:left w:w="53" w:type="dxa"/>
              <w:bottom w:w="0" w:type="dxa"/>
              <w:right w:w="53" w:type="dxa"/>
            </w:tcMar>
            <w:vAlign w:val="bottom"/>
          </w:tcPr>
          <w:p w14:paraId="588BE7A3" w14:textId="77777777" w:rsidR="002E0961" w:rsidRDefault="00BD0E60">
            <w:pPr>
              <w:keepNext/>
              <w:spacing w:before="75" w:after="30" w:line="209" w:lineRule="auto"/>
              <w:rPr>
                <w:sz w:val="20"/>
              </w:rPr>
            </w:pPr>
            <w:r>
              <w:rPr>
                <w:sz w:val="20"/>
              </w:rPr>
              <w:t>Bengal total system</w:t>
            </w:r>
            <w:r>
              <w:rPr>
                <w:sz w:val="20"/>
                <w:vertAlign w:val="superscript"/>
              </w:rPr>
              <w:t xml:space="preserve"> (6)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A4234AE" w14:textId="77777777" w:rsidR="002E0961" w:rsidRDefault="002E0961">
            <w:pPr>
              <w:keepNext/>
            </w:pPr>
          </w:p>
        </w:tc>
        <w:tc>
          <w:tcPr>
            <w:tcW w:w="1370" w:type="dxa"/>
            <w:gridSpan w:val="2"/>
            <w:tcBorders>
              <w:top w:val="nil"/>
              <w:left w:val="nil"/>
              <w:bottom w:val="nil"/>
              <w:right w:val="nil"/>
            </w:tcBorders>
            <w:shd w:val="clear" w:color="auto" w:fill="FFFFFF"/>
            <w:tcMar>
              <w:top w:w="0" w:type="dxa"/>
              <w:left w:w="53" w:type="dxa"/>
              <w:bottom w:w="0" w:type="dxa"/>
              <w:right w:w="0" w:type="dxa"/>
            </w:tcMar>
            <w:vAlign w:val="bottom"/>
          </w:tcPr>
          <w:p w14:paraId="28EBB03C" w14:textId="77777777" w:rsidR="002E0961" w:rsidRDefault="00BD0E60">
            <w:pPr>
              <w:keepNext/>
              <w:spacing w:before="75" w:after="30" w:line="200" w:lineRule="auto"/>
              <w:jc w:val="right"/>
            </w:pPr>
            <w:r>
              <w:rPr>
                <w:color w:val="000000"/>
                <w:sz w:val="20"/>
              </w:rPr>
              <w:t>0.43 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4D4AA09"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D8C1CF9" w14:textId="77777777" w:rsidR="002E0961" w:rsidRDefault="002E0961">
            <w:pPr>
              <w:keepNext/>
            </w:pPr>
          </w:p>
        </w:tc>
        <w:tc>
          <w:tcPr>
            <w:tcW w:w="1400" w:type="dxa"/>
            <w:gridSpan w:val="2"/>
            <w:tcBorders>
              <w:top w:val="nil"/>
              <w:left w:val="nil"/>
              <w:bottom w:val="nil"/>
              <w:right w:val="nil"/>
            </w:tcBorders>
            <w:shd w:val="clear" w:color="auto" w:fill="FFFFFF"/>
            <w:tcMar>
              <w:top w:w="0" w:type="dxa"/>
              <w:left w:w="53" w:type="dxa"/>
              <w:bottom w:w="0" w:type="dxa"/>
              <w:right w:w="0" w:type="dxa"/>
            </w:tcMar>
            <w:vAlign w:val="bottom"/>
          </w:tcPr>
          <w:p w14:paraId="2340401F" w14:textId="77777777" w:rsidR="002E0961" w:rsidRDefault="00BD0E60">
            <w:pPr>
              <w:keepNext/>
              <w:spacing w:before="75" w:after="30" w:line="200" w:lineRule="auto"/>
              <w:jc w:val="right"/>
            </w:pPr>
            <w:r>
              <w:rPr>
                <w:color w:val="000000"/>
                <w:sz w:val="20"/>
              </w:rPr>
              <w:t>0.38 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2E8998F" w14:textId="77777777" w:rsidR="002E0961" w:rsidRDefault="002E0961">
            <w:pPr>
              <w:keepNext/>
              <w:spacing w:before="75" w:after="30" w:line="200" w:lineRule="auto"/>
            </w:pPr>
          </w:p>
        </w:tc>
      </w:tr>
      <w:tr w:rsidR="002E0961" w14:paraId="61A0A168" w14:textId="77777777">
        <w:trPr>
          <w:cantSplit/>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2A418F24" w14:textId="77777777" w:rsidR="002E0961" w:rsidRDefault="00BD0E60">
            <w:pPr>
              <w:keepNext/>
              <w:spacing w:before="75" w:after="30" w:line="209" w:lineRule="auto"/>
              <w:rPr>
                <w:sz w:val="20"/>
              </w:rPr>
            </w:pPr>
            <w:r>
              <w:rPr>
                <w:sz w:val="20"/>
              </w:rPr>
              <w:t xml:space="preserve">Auger total system </w:t>
            </w:r>
            <w:r>
              <w:rPr>
                <w:sz w:val="20"/>
                <w:vertAlign w:val="superscript"/>
              </w:rPr>
              <w:t>(6)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01D3165" w14:textId="77777777" w:rsidR="002E0961" w:rsidRDefault="002E0961">
            <w:pPr>
              <w:keepNext/>
            </w:pPr>
          </w:p>
        </w:tc>
        <w:tc>
          <w:tcPr>
            <w:tcW w:w="1370" w:type="dxa"/>
            <w:gridSpan w:val="2"/>
            <w:tcBorders>
              <w:top w:val="nil"/>
              <w:left w:val="nil"/>
              <w:bottom w:val="nil"/>
              <w:right w:val="nil"/>
            </w:tcBorders>
            <w:shd w:val="clear" w:color="auto" w:fill="CCEEFF"/>
            <w:tcMar>
              <w:top w:w="0" w:type="dxa"/>
              <w:left w:w="53" w:type="dxa"/>
              <w:bottom w:w="0" w:type="dxa"/>
              <w:right w:w="0" w:type="dxa"/>
            </w:tcMar>
            <w:vAlign w:val="bottom"/>
          </w:tcPr>
          <w:p w14:paraId="6AFCB6F2" w14:textId="77777777" w:rsidR="002E0961" w:rsidRDefault="00BD0E60">
            <w:pPr>
              <w:keepNext/>
              <w:spacing w:before="75" w:after="30" w:line="200" w:lineRule="auto"/>
              <w:jc w:val="right"/>
            </w:pPr>
            <w:r>
              <w:rPr>
                <w:color w:val="000000"/>
                <w:sz w:val="20"/>
              </w:rPr>
              <w:t>1.06 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C035826"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7599BEC" w14:textId="77777777" w:rsidR="002E0961" w:rsidRDefault="002E0961">
            <w:pPr>
              <w:keepNext/>
            </w:pPr>
          </w:p>
        </w:tc>
        <w:tc>
          <w:tcPr>
            <w:tcW w:w="1400" w:type="dxa"/>
            <w:gridSpan w:val="2"/>
            <w:tcBorders>
              <w:top w:val="nil"/>
              <w:left w:val="nil"/>
              <w:bottom w:val="nil"/>
              <w:right w:val="nil"/>
            </w:tcBorders>
            <w:shd w:val="clear" w:color="auto" w:fill="CCEEFF"/>
            <w:tcMar>
              <w:top w:w="0" w:type="dxa"/>
              <w:left w:w="53" w:type="dxa"/>
              <w:bottom w:w="0" w:type="dxa"/>
              <w:right w:w="0" w:type="dxa"/>
            </w:tcMar>
            <w:vAlign w:val="bottom"/>
          </w:tcPr>
          <w:p w14:paraId="33BF78CA" w14:textId="77777777" w:rsidR="002E0961" w:rsidRDefault="00BD0E60">
            <w:pPr>
              <w:keepNext/>
              <w:spacing w:before="75" w:after="30" w:line="200" w:lineRule="auto"/>
              <w:jc w:val="right"/>
            </w:pPr>
            <w:r>
              <w:rPr>
                <w:color w:val="000000"/>
                <w:sz w:val="20"/>
              </w:rPr>
              <w:t>1.51 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3899EDF" w14:textId="77777777" w:rsidR="002E0961" w:rsidRDefault="002E0961">
            <w:pPr>
              <w:keepNext/>
              <w:spacing w:before="75" w:after="30" w:line="200" w:lineRule="auto"/>
            </w:pPr>
          </w:p>
        </w:tc>
      </w:tr>
      <w:tr w:rsidR="002E0961" w14:paraId="324F0D00" w14:textId="77777777">
        <w:trPr>
          <w:cantSplit/>
          <w:trHeight w:hRule="exact" w:val="300"/>
          <w:jc w:val="center"/>
        </w:trPr>
        <w:tc>
          <w:tcPr>
            <w:tcW w:w="6990" w:type="dxa"/>
            <w:tcBorders>
              <w:top w:val="nil"/>
              <w:left w:val="nil"/>
              <w:bottom w:val="nil"/>
              <w:right w:val="nil"/>
            </w:tcBorders>
            <w:shd w:val="clear" w:color="auto" w:fill="FFFFFF"/>
            <w:tcMar>
              <w:top w:w="0" w:type="dxa"/>
              <w:left w:w="53" w:type="dxa"/>
              <w:bottom w:w="0" w:type="dxa"/>
              <w:right w:w="53" w:type="dxa"/>
            </w:tcMar>
            <w:vAlign w:val="bottom"/>
          </w:tcPr>
          <w:p w14:paraId="6A5D0F29" w14:textId="77777777" w:rsidR="002E0961" w:rsidRDefault="00BD0E60">
            <w:pPr>
              <w:keepNext/>
              <w:spacing w:before="75" w:after="30" w:line="209" w:lineRule="auto"/>
              <w:rPr>
                <w:sz w:val="20"/>
              </w:rPr>
            </w:pPr>
            <w:r>
              <w:rPr>
                <w:sz w:val="20"/>
              </w:rPr>
              <w:t>Delta total system</w:t>
            </w:r>
            <w:r>
              <w:rPr>
                <w:sz w:val="20"/>
                <w:vertAlign w:val="superscript"/>
              </w:rPr>
              <w:t xml:space="preserve"> (6)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F1B85D1" w14:textId="77777777" w:rsidR="002E0961" w:rsidRDefault="002E0961">
            <w:pPr>
              <w:keepNext/>
            </w:pPr>
          </w:p>
        </w:tc>
        <w:tc>
          <w:tcPr>
            <w:tcW w:w="1370" w:type="dxa"/>
            <w:gridSpan w:val="2"/>
            <w:tcBorders>
              <w:top w:val="nil"/>
              <w:left w:val="nil"/>
              <w:bottom w:val="nil"/>
              <w:right w:val="nil"/>
            </w:tcBorders>
            <w:shd w:val="clear" w:color="auto" w:fill="FFFFFF"/>
            <w:tcMar>
              <w:top w:w="0" w:type="dxa"/>
              <w:left w:w="53" w:type="dxa"/>
              <w:bottom w:w="0" w:type="dxa"/>
              <w:right w:w="0" w:type="dxa"/>
            </w:tcMar>
            <w:vAlign w:val="bottom"/>
          </w:tcPr>
          <w:p w14:paraId="2DE96850" w14:textId="77777777" w:rsidR="002E0961" w:rsidRDefault="00BD0E60">
            <w:pPr>
              <w:keepNext/>
              <w:spacing w:before="75" w:after="30" w:line="200" w:lineRule="auto"/>
              <w:jc w:val="right"/>
            </w:pPr>
            <w:r>
              <w:rPr>
                <w:color w:val="000000"/>
                <w:sz w:val="20"/>
              </w:rPr>
              <w:t>0.58 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E53802E"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4694A9E" w14:textId="77777777" w:rsidR="002E0961" w:rsidRDefault="002E0961">
            <w:pPr>
              <w:keepNext/>
            </w:pPr>
          </w:p>
        </w:tc>
        <w:tc>
          <w:tcPr>
            <w:tcW w:w="1400" w:type="dxa"/>
            <w:gridSpan w:val="2"/>
            <w:tcBorders>
              <w:top w:val="nil"/>
              <w:left w:val="nil"/>
              <w:bottom w:val="nil"/>
              <w:right w:val="nil"/>
            </w:tcBorders>
            <w:shd w:val="clear" w:color="auto" w:fill="FFFFFF"/>
            <w:tcMar>
              <w:top w:w="0" w:type="dxa"/>
              <w:left w:w="53" w:type="dxa"/>
              <w:bottom w:w="0" w:type="dxa"/>
              <w:right w:w="0" w:type="dxa"/>
            </w:tcMar>
            <w:vAlign w:val="bottom"/>
          </w:tcPr>
          <w:p w14:paraId="26604413" w14:textId="77777777" w:rsidR="002E0961" w:rsidRDefault="00BD0E60">
            <w:pPr>
              <w:keepNext/>
              <w:spacing w:before="75" w:after="30" w:line="200" w:lineRule="auto"/>
              <w:jc w:val="right"/>
            </w:pPr>
            <w:r>
              <w:rPr>
                <w:color w:val="000000"/>
                <w:sz w:val="20"/>
              </w:rPr>
              <w:t>0.60 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6205AFA" w14:textId="77777777" w:rsidR="002E0961" w:rsidRDefault="002E0961">
            <w:pPr>
              <w:keepNext/>
              <w:spacing w:before="75" w:after="30" w:line="200" w:lineRule="auto"/>
            </w:pPr>
          </w:p>
        </w:tc>
      </w:tr>
      <w:tr w:rsidR="002E0961" w14:paraId="451B3903" w14:textId="77777777">
        <w:trPr>
          <w:cantSplit/>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1DB28D39" w14:textId="77777777" w:rsidR="002E0961" w:rsidRDefault="00BD0E60">
            <w:pPr>
              <w:keepNext/>
              <w:spacing w:before="75" w:after="30" w:line="209" w:lineRule="auto"/>
              <w:rPr>
                <w:sz w:val="20"/>
              </w:rPr>
            </w:pPr>
            <w:r>
              <w:rPr>
                <w:sz w:val="20"/>
              </w:rPr>
              <w:t xml:space="preserve">Na </w:t>
            </w:r>
            <w:proofErr w:type="spellStart"/>
            <w:r>
              <w:rPr>
                <w:sz w:val="20"/>
              </w:rPr>
              <w:t>Kika</w:t>
            </w:r>
            <w:proofErr w:type="spellEnd"/>
            <w:r>
              <w:rPr>
                <w:sz w:val="20"/>
              </w:rPr>
              <w:t xml:space="preserve"> total system</w:t>
            </w:r>
            <w:r>
              <w:rPr>
                <w:sz w:val="20"/>
                <w:vertAlign w:val="superscript"/>
              </w:rPr>
              <w:t xml:space="preserve"> (6)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E07D7A" w14:textId="77777777" w:rsidR="002E0961" w:rsidRDefault="002E0961">
            <w:pPr>
              <w:keepNext/>
            </w:pPr>
          </w:p>
        </w:tc>
        <w:tc>
          <w:tcPr>
            <w:tcW w:w="1370" w:type="dxa"/>
            <w:gridSpan w:val="2"/>
            <w:tcBorders>
              <w:top w:val="nil"/>
              <w:left w:val="nil"/>
              <w:bottom w:val="nil"/>
              <w:right w:val="nil"/>
            </w:tcBorders>
            <w:shd w:val="clear" w:color="auto" w:fill="CCEEFF"/>
            <w:tcMar>
              <w:top w:w="0" w:type="dxa"/>
              <w:left w:w="53" w:type="dxa"/>
              <w:bottom w:w="0" w:type="dxa"/>
              <w:right w:w="0" w:type="dxa"/>
            </w:tcMar>
            <w:vAlign w:val="bottom"/>
          </w:tcPr>
          <w:p w14:paraId="703A8CE1" w14:textId="77777777" w:rsidR="002E0961" w:rsidRDefault="00BD0E60">
            <w:pPr>
              <w:keepNext/>
              <w:spacing w:before="75" w:after="30" w:line="200" w:lineRule="auto"/>
              <w:jc w:val="right"/>
            </w:pPr>
            <w:r>
              <w:rPr>
                <w:color w:val="000000"/>
                <w:sz w:val="20"/>
              </w:rPr>
              <w:t>1.02 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13B9298"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57398A0" w14:textId="77777777" w:rsidR="002E0961" w:rsidRDefault="002E0961">
            <w:pPr>
              <w:keepNext/>
            </w:pPr>
          </w:p>
        </w:tc>
        <w:tc>
          <w:tcPr>
            <w:tcW w:w="1400" w:type="dxa"/>
            <w:gridSpan w:val="2"/>
            <w:tcBorders>
              <w:top w:val="nil"/>
              <w:left w:val="nil"/>
              <w:bottom w:val="nil"/>
              <w:right w:val="nil"/>
            </w:tcBorders>
            <w:shd w:val="clear" w:color="auto" w:fill="CCEEFF"/>
            <w:tcMar>
              <w:top w:w="0" w:type="dxa"/>
              <w:left w:w="53" w:type="dxa"/>
              <w:bottom w:w="0" w:type="dxa"/>
              <w:right w:w="0" w:type="dxa"/>
            </w:tcMar>
            <w:vAlign w:val="bottom"/>
          </w:tcPr>
          <w:p w14:paraId="2EB30FF0" w14:textId="77777777" w:rsidR="002E0961" w:rsidRDefault="00BD0E60">
            <w:pPr>
              <w:keepNext/>
              <w:spacing w:before="75" w:after="30" w:line="200" w:lineRule="auto"/>
              <w:jc w:val="right"/>
            </w:pPr>
            <w:r>
              <w:rPr>
                <w:color w:val="000000"/>
                <w:sz w:val="20"/>
              </w:rPr>
              <w:t>0.85 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6772D8D" w14:textId="77777777" w:rsidR="002E0961" w:rsidRDefault="002E0961">
            <w:pPr>
              <w:keepNext/>
              <w:spacing w:before="75" w:after="30" w:line="200" w:lineRule="auto"/>
            </w:pPr>
          </w:p>
        </w:tc>
      </w:tr>
      <w:tr w:rsidR="002E0961" w14:paraId="4850B5F3" w14:textId="77777777">
        <w:trPr>
          <w:cantSplit/>
          <w:trHeight w:hRule="exact" w:val="300"/>
          <w:jc w:val="center"/>
        </w:trPr>
        <w:tc>
          <w:tcPr>
            <w:tcW w:w="6990" w:type="dxa"/>
            <w:tcBorders>
              <w:top w:val="nil"/>
              <w:left w:val="nil"/>
              <w:bottom w:val="nil"/>
              <w:right w:val="nil"/>
            </w:tcBorders>
            <w:shd w:val="clear" w:color="auto" w:fill="FFFFFF"/>
            <w:tcMar>
              <w:top w:w="0" w:type="dxa"/>
              <w:left w:w="53" w:type="dxa"/>
              <w:bottom w:w="0" w:type="dxa"/>
              <w:right w:w="53" w:type="dxa"/>
            </w:tcMar>
            <w:vAlign w:val="bottom"/>
          </w:tcPr>
          <w:p w14:paraId="40670A2C" w14:textId="77777777" w:rsidR="002E0961" w:rsidRDefault="00BD0E60">
            <w:pPr>
              <w:keepNext/>
              <w:spacing w:before="75" w:after="30" w:line="209" w:lineRule="auto"/>
              <w:rPr>
                <w:sz w:val="20"/>
              </w:rPr>
            </w:pPr>
            <w:r>
              <w:rPr>
                <w:sz w:val="20"/>
              </w:rPr>
              <w:t>Odyssey total system</w:t>
            </w:r>
            <w:r>
              <w:rPr>
                <w:sz w:val="20"/>
                <w:vertAlign w:val="superscript"/>
              </w:rPr>
              <w:t xml:space="preserve"> (6)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BFE0AE8" w14:textId="77777777" w:rsidR="002E0961" w:rsidRDefault="002E0961">
            <w:pPr>
              <w:keepNext/>
            </w:pPr>
          </w:p>
        </w:tc>
        <w:tc>
          <w:tcPr>
            <w:tcW w:w="1370" w:type="dxa"/>
            <w:gridSpan w:val="2"/>
            <w:tcBorders>
              <w:top w:val="nil"/>
              <w:left w:val="nil"/>
              <w:bottom w:val="nil"/>
              <w:right w:val="nil"/>
            </w:tcBorders>
            <w:shd w:val="clear" w:color="auto" w:fill="FFFFFF"/>
            <w:tcMar>
              <w:top w:w="0" w:type="dxa"/>
              <w:left w:w="53" w:type="dxa"/>
              <w:bottom w:w="0" w:type="dxa"/>
              <w:right w:w="0" w:type="dxa"/>
            </w:tcMar>
            <w:vAlign w:val="bottom"/>
          </w:tcPr>
          <w:p w14:paraId="6BF546B6" w14:textId="77777777" w:rsidR="002E0961" w:rsidRDefault="00BD0E60">
            <w:pPr>
              <w:keepNext/>
              <w:spacing w:before="75" w:after="30" w:line="200" w:lineRule="auto"/>
              <w:jc w:val="right"/>
            </w:pPr>
            <w:r>
              <w:rPr>
                <w:color w:val="000000"/>
                <w:sz w:val="20"/>
              </w:rPr>
              <w:t>0.92 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BA6AB8E" w14:textId="77777777" w:rsidR="002E0961" w:rsidRDefault="002E0961">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4102EBF" w14:textId="77777777" w:rsidR="002E0961" w:rsidRDefault="002E0961">
            <w:pPr>
              <w:keepNext/>
            </w:pPr>
          </w:p>
        </w:tc>
        <w:tc>
          <w:tcPr>
            <w:tcW w:w="1400" w:type="dxa"/>
            <w:gridSpan w:val="2"/>
            <w:tcBorders>
              <w:top w:val="nil"/>
              <w:left w:val="nil"/>
              <w:bottom w:val="nil"/>
              <w:right w:val="nil"/>
            </w:tcBorders>
            <w:shd w:val="clear" w:color="auto" w:fill="FFFFFF"/>
            <w:tcMar>
              <w:top w:w="0" w:type="dxa"/>
              <w:left w:w="53" w:type="dxa"/>
              <w:bottom w:w="0" w:type="dxa"/>
              <w:right w:w="0" w:type="dxa"/>
            </w:tcMar>
            <w:vAlign w:val="bottom"/>
          </w:tcPr>
          <w:p w14:paraId="7BDE05C9" w14:textId="77777777" w:rsidR="002E0961" w:rsidRDefault="00BD0E60">
            <w:pPr>
              <w:keepNext/>
              <w:spacing w:before="75" w:after="30" w:line="200" w:lineRule="auto"/>
              <w:jc w:val="right"/>
            </w:pPr>
            <w:r>
              <w:rPr>
                <w:color w:val="000000"/>
                <w:sz w:val="20"/>
              </w:rPr>
              <w:t>0.89 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F90FD43" w14:textId="77777777" w:rsidR="002E0961" w:rsidRDefault="002E0961">
            <w:pPr>
              <w:keepNext/>
              <w:spacing w:before="75" w:after="30" w:line="200" w:lineRule="auto"/>
            </w:pPr>
          </w:p>
        </w:tc>
      </w:tr>
      <w:tr w:rsidR="002E0961" w14:paraId="7C7A5906" w14:textId="77777777">
        <w:trPr>
          <w:cantSplit/>
          <w:trHeight w:hRule="exact" w:val="300"/>
          <w:jc w:val="center"/>
        </w:trPr>
        <w:tc>
          <w:tcPr>
            <w:tcW w:w="6990" w:type="dxa"/>
            <w:tcBorders>
              <w:top w:val="nil"/>
              <w:left w:val="nil"/>
              <w:bottom w:val="nil"/>
              <w:right w:val="nil"/>
            </w:tcBorders>
            <w:shd w:val="clear" w:color="auto" w:fill="CCEEFF"/>
            <w:tcMar>
              <w:top w:w="0" w:type="dxa"/>
              <w:left w:w="53" w:type="dxa"/>
              <w:bottom w:w="0" w:type="dxa"/>
              <w:right w:w="53" w:type="dxa"/>
            </w:tcMar>
            <w:vAlign w:val="bottom"/>
          </w:tcPr>
          <w:p w14:paraId="5B611779" w14:textId="77777777" w:rsidR="002E0961" w:rsidRDefault="00BD0E60">
            <w:pPr>
              <w:keepNext/>
              <w:spacing w:before="75" w:after="30" w:line="209" w:lineRule="auto"/>
              <w:rPr>
                <w:sz w:val="20"/>
              </w:rPr>
            </w:pPr>
            <w:r>
              <w:rPr>
                <w:sz w:val="20"/>
              </w:rPr>
              <w:t>Lockport total system</w:t>
            </w:r>
            <w:r>
              <w:rPr>
                <w:sz w:val="20"/>
                <w:vertAlign w:val="superscript"/>
              </w:rPr>
              <w:t xml:space="preserve"> (7)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6CE61E3" w14:textId="77777777" w:rsidR="002E0961" w:rsidRDefault="002E0961">
            <w:pPr>
              <w:keepNext/>
            </w:pPr>
          </w:p>
        </w:tc>
        <w:tc>
          <w:tcPr>
            <w:tcW w:w="1370" w:type="dxa"/>
            <w:gridSpan w:val="2"/>
            <w:tcBorders>
              <w:top w:val="nil"/>
              <w:left w:val="nil"/>
              <w:bottom w:val="nil"/>
              <w:right w:val="nil"/>
            </w:tcBorders>
            <w:shd w:val="clear" w:color="auto" w:fill="CCEEFF"/>
            <w:tcMar>
              <w:top w:w="0" w:type="dxa"/>
              <w:left w:w="53" w:type="dxa"/>
              <w:bottom w:w="0" w:type="dxa"/>
              <w:right w:w="0" w:type="dxa"/>
            </w:tcMar>
            <w:vAlign w:val="bottom"/>
          </w:tcPr>
          <w:p w14:paraId="268E0EA5" w14:textId="77777777" w:rsidR="002E0961" w:rsidRDefault="00BD0E60">
            <w:pPr>
              <w:keepNext/>
              <w:spacing w:before="75" w:after="30" w:line="200" w:lineRule="auto"/>
              <w:jc w:val="right"/>
            </w:pPr>
            <w:r>
              <w:rPr>
                <w:color w:val="000000"/>
                <w:sz w:val="20"/>
              </w:rPr>
              <w:t>0.25 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2D486DD" w14:textId="77777777" w:rsidR="002E0961" w:rsidRDefault="002E0961">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E46AB99" w14:textId="77777777" w:rsidR="002E0961" w:rsidRDefault="002E0961">
            <w:pPr>
              <w:keepNext/>
            </w:pPr>
          </w:p>
        </w:tc>
        <w:tc>
          <w:tcPr>
            <w:tcW w:w="1400" w:type="dxa"/>
            <w:gridSpan w:val="2"/>
            <w:tcBorders>
              <w:top w:val="nil"/>
              <w:left w:val="nil"/>
              <w:bottom w:val="nil"/>
              <w:right w:val="nil"/>
            </w:tcBorders>
            <w:shd w:val="clear" w:color="auto" w:fill="CCEEFF"/>
            <w:tcMar>
              <w:top w:w="0" w:type="dxa"/>
              <w:left w:w="53" w:type="dxa"/>
              <w:bottom w:w="0" w:type="dxa"/>
              <w:right w:w="0" w:type="dxa"/>
            </w:tcMar>
            <w:vAlign w:val="bottom"/>
          </w:tcPr>
          <w:p w14:paraId="1831C1DC" w14:textId="77777777" w:rsidR="002E0961" w:rsidRDefault="00BD0E60">
            <w:pPr>
              <w:keepNext/>
              <w:spacing w:before="75" w:after="30" w:line="200" w:lineRule="auto"/>
              <w:jc w:val="right"/>
            </w:pPr>
            <w:r>
              <w:rPr>
                <w:color w:val="000000"/>
                <w:sz w:val="20"/>
              </w:rPr>
              <w:t>0.25 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7E6CE04" w14:textId="77777777" w:rsidR="002E0961" w:rsidRDefault="002E0961">
            <w:pPr>
              <w:keepNext/>
              <w:spacing w:before="75" w:after="30" w:line="200" w:lineRule="auto"/>
            </w:pPr>
          </w:p>
        </w:tc>
      </w:tr>
      <w:tr w:rsidR="002E0961" w14:paraId="436510B1" w14:textId="77777777">
        <w:trPr>
          <w:cantSplit/>
          <w:trHeight w:hRule="exact" w:val="300"/>
          <w:jc w:val="center"/>
        </w:trPr>
        <w:tc>
          <w:tcPr>
            <w:tcW w:w="6990" w:type="dxa"/>
            <w:tcBorders>
              <w:top w:val="nil"/>
              <w:left w:val="nil"/>
              <w:bottom w:val="nil"/>
              <w:right w:val="nil"/>
            </w:tcBorders>
            <w:shd w:val="clear" w:color="auto" w:fill="FFFFFF"/>
            <w:tcMar>
              <w:top w:w="0" w:type="dxa"/>
              <w:left w:w="53" w:type="dxa"/>
              <w:bottom w:w="0" w:type="dxa"/>
              <w:right w:w="53" w:type="dxa"/>
            </w:tcMar>
            <w:vAlign w:val="bottom"/>
          </w:tcPr>
          <w:p w14:paraId="7CB638C2" w14:textId="77777777" w:rsidR="002E0961" w:rsidRDefault="00BD0E60">
            <w:pPr>
              <w:spacing w:before="75" w:after="30" w:line="209" w:lineRule="auto"/>
              <w:rPr>
                <w:sz w:val="20"/>
              </w:rPr>
            </w:pPr>
            <w:r>
              <w:rPr>
                <w:sz w:val="20"/>
              </w:rPr>
              <w:t>Mattox total system</w:t>
            </w:r>
            <w:r>
              <w:rPr>
                <w:sz w:val="20"/>
                <w:vertAlign w:val="superscript"/>
              </w:rPr>
              <w:t xml:space="preserve"> (8)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5AC54CC" w14:textId="77777777" w:rsidR="002E0961" w:rsidRDefault="002E0961"/>
        </w:tc>
        <w:tc>
          <w:tcPr>
            <w:tcW w:w="1370" w:type="dxa"/>
            <w:gridSpan w:val="2"/>
            <w:tcBorders>
              <w:top w:val="nil"/>
              <w:left w:val="nil"/>
              <w:bottom w:val="nil"/>
              <w:right w:val="nil"/>
            </w:tcBorders>
            <w:shd w:val="clear" w:color="auto" w:fill="FFFFFF"/>
            <w:tcMar>
              <w:top w:w="0" w:type="dxa"/>
              <w:left w:w="53" w:type="dxa"/>
              <w:bottom w:w="0" w:type="dxa"/>
              <w:right w:w="0" w:type="dxa"/>
            </w:tcMar>
            <w:vAlign w:val="bottom"/>
          </w:tcPr>
          <w:p w14:paraId="6F3E0CB8" w14:textId="77777777" w:rsidR="002E0961" w:rsidRDefault="00BD0E60">
            <w:pPr>
              <w:spacing w:before="75" w:after="30" w:line="200" w:lineRule="auto"/>
              <w:jc w:val="right"/>
            </w:pPr>
            <w:r>
              <w:rPr>
                <w:color w:val="000000"/>
                <w:sz w:val="20"/>
              </w:rPr>
              <w:t>1.52 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A7ADD5D" w14:textId="77777777" w:rsidR="002E0961" w:rsidRDefault="002E0961">
            <w:pPr>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68B0FA1" w14:textId="77777777" w:rsidR="002E0961" w:rsidRDefault="002E0961"/>
        </w:tc>
        <w:tc>
          <w:tcPr>
            <w:tcW w:w="1400" w:type="dxa"/>
            <w:gridSpan w:val="2"/>
            <w:tcBorders>
              <w:top w:val="nil"/>
              <w:left w:val="nil"/>
              <w:bottom w:val="nil"/>
              <w:right w:val="nil"/>
            </w:tcBorders>
            <w:shd w:val="clear" w:color="auto" w:fill="FFFFFF"/>
            <w:tcMar>
              <w:top w:w="0" w:type="dxa"/>
              <w:left w:w="53" w:type="dxa"/>
              <w:bottom w:w="0" w:type="dxa"/>
              <w:right w:w="0" w:type="dxa"/>
            </w:tcMar>
            <w:vAlign w:val="bottom"/>
          </w:tcPr>
          <w:p w14:paraId="6FE35AF8" w14:textId="77777777" w:rsidR="002E0961" w:rsidRDefault="00BD0E60">
            <w:pPr>
              <w:spacing w:before="75" w:after="30" w:line="200" w:lineRule="auto"/>
              <w:jc w:val="right"/>
            </w:pPr>
            <w:r>
              <w:rPr>
                <w:color w:val="000000"/>
                <w:sz w:val="20"/>
              </w:rPr>
              <w:t>1.52 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025C0E0" w14:textId="77777777" w:rsidR="002E0961" w:rsidRDefault="002E0961">
            <w:pPr>
              <w:spacing w:before="75" w:after="30" w:line="200" w:lineRule="auto"/>
            </w:pPr>
          </w:p>
        </w:tc>
      </w:tr>
    </w:tbl>
    <w:p w14:paraId="173E1C70" w14:textId="77777777" w:rsidR="002E0961" w:rsidRDefault="00BD0E60">
      <w:pPr>
        <w:spacing w:before="120" w:line="248" w:lineRule="auto"/>
        <w:ind w:left="540" w:hanging="260"/>
        <w:rPr>
          <w:sz w:val="18"/>
        </w:rPr>
      </w:pPr>
      <w:r>
        <w:rPr>
          <w:i/>
          <w:sz w:val="18"/>
          <w:vertAlign w:val="superscript"/>
        </w:rPr>
        <w:t xml:space="preserve">(1) </w:t>
      </w:r>
      <w:r>
        <w:rPr>
          <w:i/>
          <w:sz w:val="18"/>
        </w:rPr>
        <w:t>Pipeline throughput is defined as the volume of delivered barrels.</w:t>
      </w:r>
    </w:p>
    <w:p w14:paraId="44D5B726" w14:textId="77777777" w:rsidR="002E0961" w:rsidRDefault="00BD0E60">
      <w:pPr>
        <w:spacing w:line="248" w:lineRule="auto"/>
        <w:ind w:left="540" w:hanging="260"/>
        <w:rPr>
          <w:i/>
          <w:sz w:val="16"/>
          <w:vertAlign w:val="superscript"/>
        </w:rPr>
      </w:pPr>
      <w:r>
        <w:rPr>
          <w:i/>
          <w:sz w:val="18"/>
          <w:vertAlign w:val="superscript"/>
        </w:rPr>
        <w:t xml:space="preserve">(2) </w:t>
      </w:r>
      <w:r>
        <w:rPr>
          <w:i/>
          <w:sz w:val="18"/>
        </w:rPr>
        <w:t>The actual delivered barrels for Mattox are disclosed in the above table for the comparative periods. However, Mattox is billed by monthly minimum quantity per dedication and transportation agreements. Based on the contracted volume determined in the agreements, the thousands of barrels per day for Mattox are 168 for both the three months ended September 30, 2020 and June 30, 2020.</w:t>
      </w:r>
    </w:p>
    <w:p w14:paraId="55E00B10" w14:textId="77777777" w:rsidR="002E0961" w:rsidRDefault="00BD0E60">
      <w:pPr>
        <w:spacing w:line="248" w:lineRule="auto"/>
        <w:ind w:left="540" w:hanging="260"/>
        <w:rPr>
          <w:i/>
          <w:sz w:val="16"/>
          <w:vertAlign w:val="superscript"/>
        </w:rPr>
      </w:pPr>
      <w:r>
        <w:rPr>
          <w:i/>
          <w:sz w:val="18"/>
          <w:vertAlign w:val="superscript"/>
        </w:rPr>
        <w:t xml:space="preserve">(3) </w:t>
      </w:r>
      <w:r>
        <w:rPr>
          <w:i/>
          <w:sz w:val="18"/>
        </w:rPr>
        <w:t xml:space="preserve">In the second quarter of 2020, the volume we disclosed for Mattox for the three months ended June 30, 2020 erroneously included both the actual volume delivered and the contracted volume per dedication and transportation agreements. As such, we revised the pipeline throughput for Mattox for the three months ended June 30, 2020 in the above table to only include the actual volume delivered during the period.  </w:t>
      </w:r>
    </w:p>
    <w:p w14:paraId="0F1551FD" w14:textId="77777777" w:rsidR="002E0961" w:rsidRDefault="00BD0E60">
      <w:pPr>
        <w:spacing w:line="248" w:lineRule="auto"/>
        <w:ind w:firstLine="270"/>
        <w:rPr>
          <w:i/>
          <w:sz w:val="18"/>
          <w:vertAlign w:val="superscript"/>
        </w:rPr>
      </w:pPr>
      <w:r>
        <w:rPr>
          <w:i/>
          <w:sz w:val="18"/>
          <w:vertAlign w:val="superscript"/>
        </w:rPr>
        <w:t>(4)</w:t>
      </w:r>
      <w:r>
        <w:rPr>
          <w:i/>
          <w:sz w:val="18"/>
        </w:rPr>
        <w:t xml:space="preserve"> </w:t>
      </w:r>
      <w:proofErr w:type="spellStart"/>
      <w:r>
        <w:rPr>
          <w:i/>
          <w:sz w:val="18"/>
        </w:rPr>
        <w:t>Terminaling</w:t>
      </w:r>
      <w:proofErr w:type="spellEnd"/>
      <w:r>
        <w:rPr>
          <w:i/>
          <w:sz w:val="18"/>
        </w:rPr>
        <w:t xml:space="preserve"> throughput is defined as the volume of delivered barrels, and storage is defined as the volume of stored barrels.</w:t>
      </w:r>
    </w:p>
    <w:p w14:paraId="3FF6FCF9" w14:textId="77777777" w:rsidR="002E0961" w:rsidRDefault="00BD0E60">
      <w:pPr>
        <w:spacing w:line="248" w:lineRule="auto"/>
        <w:ind w:left="540" w:hanging="270"/>
        <w:rPr>
          <w:i/>
          <w:sz w:val="18"/>
          <w:vertAlign w:val="superscript"/>
        </w:rPr>
      </w:pPr>
      <w:r>
        <w:rPr>
          <w:i/>
          <w:sz w:val="18"/>
          <w:vertAlign w:val="superscript"/>
        </w:rPr>
        <w:t>(5)</w:t>
      </w:r>
      <w:r>
        <w:rPr>
          <w:i/>
          <w:sz w:val="18"/>
        </w:rPr>
        <w:t xml:space="preserve"> Refinery Gas Pipeline and our refined products terminals are not included above as they generate revenue under transportation and </w:t>
      </w:r>
      <w:proofErr w:type="spellStart"/>
      <w:r>
        <w:rPr>
          <w:i/>
          <w:sz w:val="18"/>
        </w:rPr>
        <w:t>terminaling</w:t>
      </w:r>
      <w:proofErr w:type="spellEnd"/>
      <w:r>
        <w:rPr>
          <w:i/>
          <w:sz w:val="18"/>
        </w:rPr>
        <w:t xml:space="preserve"> service agreements, respectively, that provide for guaranteed minimum revenue and /or throughput. </w:t>
      </w:r>
    </w:p>
    <w:p w14:paraId="0153C0CA" w14:textId="77777777" w:rsidR="002E0961" w:rsidRDefault="00BD0E60">
      <w:pPr>
        <w:spacing w:line="248" w:lineRule="auto"/>
        <w:ind w:left="540" w:hanging="270"/>
        <w:rPr>
          <w:i/>
          <w:sz w:val="18"/>
          <w:vertAlign w:val="superscript"/>
        </w:rPr>
      </w:pPr>
      <w:r>
        <w:rPr>
          <w:i/>
          <w:sz w:val="18"/>
          <w:vertAlign w:val="superscript"/>
        </w:rPr>
        <w:t>(6)</w:t>
      </w:r>
      <w:r>
        <w:rPr>
          <w:i/>
          <w:sz w:val="18"/>
        </w:rPr>
        <w:t xml:space="preserve"> Based on reported revenues from transportation and allowance oil divided by delivered barrels over the same time period. Actual tariffs charged are based on shipping points along the pipeline system, volume and length of contract.  </w:t>
      </w:r>
    </w:p>
    <w:p w14:paraId="0517C12E" w14:textId="77777777" w:rsidR="002E0961" w:rsidRDefault="00BD0E60">
      <w:pPr>
        <w:keepNext/>
        <w:spacing w:line="248" w:lineRule="auto"/>
        <w:ind w:left="270"/>
        <w:rPr>
          <w:i/>
          <w:sz w:val="18"/>
          <w:vertAlign w:val="superscript"/>
        </w:rPr>
      </w:pPr>
      <w:r>
        <w:rPr>
          <w:i/>
          <w:sz w:val="18"/>
          <w:vertAlign w:val="superscript"/>
        </w:rPr>
        <w:lastRenderedPageBreak/>
        <w:t>(7)</w:t>
      </w:r>
      <w:r>
        <w:rPr>
          <w:sz w:val="18"/>
        </w:rPr>
        <w:t> </w:t>
      </w:r>
      <w:r>
        <w:rPr>
          <w:i/>
          <w:sz w:val="18"/>
        </w:rPr>
        <w:t xml:space="preserve">Based on reported revenues from transportation and storage divided by delivered and stored barrels over the same time period. Actual rates are based on contract volume and length.  </w:t>
      </w:r>
    </w:p>
    <w:p w14:paraId="7B5AB33D" w14:textId="77777777" w:rsidR="002E0961" w:rsidRDefault="00BD0E60">
      <w:pPr>
        <w:keepNext/>
        <w:spacing w:line="248" w:lineRule="auto"/>
        <w:ind w:left="270"/>
        <w:rPr>
          <w:i/>
          <w:sz w:val="16"/>
          <w:vertAlign w:val="superscript"/>
        </w:rPr>
      </w:pPr>
      <w:r>
        <w:rPr>
          <w:i/>
          <w:sz w:val="18"/>
          <w:vertAlign w:val="superscript"/>
        </w:rPr>
        <w:t>(8)</w:t>
      </w:r>
      <w:r>
        <w:rPr>
          <w:i/>
          <w:sz w:val="18"/>
        </w:rPr>
        <w:t> Mattox is billed at a fixed rate of $1.52 per barrel for the monthly minimum quantity in accordance with dedication and transportation agreements.</w:t>
      </w:r>
    </w:p>
    <w:p w14:paraId="619B12F8" w14:textId="77777777" w:rsidR="002E0961" w:rsidRDefault="00BD0E60">
      <w:pPr>
        <w:spacing w:line="248" w:lineRule="auto"/>
        <w:ind w:left="270"/>
        <w:rPr>
          <w:i/>
          <w:sz w:val="18"/>
          <w:vertAlign w:val="superscript"/>
        </w:rPr>
      </w:pPr>
      <w:r>
        <w:rPr>
          <w:sz w:val="18"/>
        </w:rPr>
        <w:t xml:space="preserve"> </w:t>
      </w:r>
    </w:p>
    <w:p w14:paraId="15338C96" w14:textId="77777777" w:rsidR="002E0961" w:rsidRDefault="002E0961">
      <w:pPr>
        <w:spacing w:line="248" w:lineRule="auto"/>
        <w:ind w:left="270"/>
        <w:sectPr w:rsidR="002E0961">
          <w:headerReference w:type="default" r:id="rId14"/>
          <w:footerReference w:type="default" r:id="rId15"/>
          <w:pgSz w:w="12240" w:h="15840"/>
          <w:pgMar w:top="900" w:right="1000" w:bottom="900" w:left="720" w:header="270" w:footer="270" w:gutter="0"/>
          <w:cols w:space="708"/>
        </w:sectPr>
      </w:pPr>
    </w:p>
    <w:p w14:paraId="75A51DD2" w14:textId="77777777" w:rsidR="002E0961" w:rsidRDefault="00BD0E60">
      <w:pPr>
        <w:keepNext/>
        <w:spacing w:line="248" w:lineRule="auto"/>
        <w:outlineLvl w:val="0"/>
        <w:rPr>
          <w:sz w:val="20"/>
        </w:rPr>
      </w:pPr>
      <w:bookmarkStart w:id="2" w:name="Section3"/>
      <w:bookmarkEnd w:id="2"/>
      <w:r>
        <w:rPr>
          <w:sz w:val="20"/>
          <w:u w:val="single"/>
        </w:rPr>
        <w:lastRenderedPageBreak/>
        <w:t>FORWARD LOOKING STATEMENTS</w:t>
      </w:r>
    </w:p>
    <w:p w14:paraId="5A75FE7E" w14:textId="77777777" w:rsidR="002E0961" w:rsidRDefault="002E0961">
      <w:pPr>
        <w:keepNext/>
        <w:spacing w:line="248" w:lineRule="auto"/>
        <w:rPr>
          <w:sz w:val="20"/>
          <w:u w:val="single"/>
        </w:rPr>
      </w:pPr>
    </w:p>
    <w:p w14:paraId="7BB115B1" w14:textId="77777777" w:rsidR="002E0961" w:rsidRDefault="00BD0E60">
      <w:pPr>
        <w:spacing w:line="238" w:lineRule="auto"/>
        <w:rPr>
          <w:sz w:val="20"/>
        </w:rPr>
      </w:pPr>
      <w:r>
        <w:rPr>
          <w:i/>
          <w:sz w:val="20"/>
        </w:rPr>
        <w:t>This press release includes various “forward-looking statements” within the meaning of the Securities Act of 1933, as amended, and the Securities Exchange Act of 1934, as amended. All statements other than statements of historical fact are, or may be deemed to be, forward-looking statements. Forward-looking statements are statements of future expectations that are based on management’s current expectations and assumptions and involve known and unknown risks and uncertainties that could cause actual results, performance or events to differ materially from those expressed or implied in these statements. Forward-looking statements include, among other things, statements concerning management’s expectations, beliefs, estimates, forecasts, projections and assumptions. You can identify our forward-looking statements by words such as “anticipate”, “believe”, “estimate”, “budget”, “continue”, “potential”, “guidance”, “effort”, “expect”, “forecast”, “goals”, “objectives”, “outlook”, “intend”, “plan”, “predict”, “project”, “seek”, “target”, “begin”, “could”, “may”, “should” or “would” or other similar expressions that convey the uncertainty of future events or outcomes. In accordance with “safe harbor” provisions of the Private Securities Litigation Reform Act of 1995, these statements are accompanied by cautionary language identifying important factors, though not necessarily all such factors, which could cause future outcomes to differ materially from those set forth in forward-looking statements. In particular, expressed or implied statements concerning future growth, future actions, the continued effects of the global COVID-19 pandemic on demand, the effects of the continued volatility of commodity prices and the related macroeconomic and political environment, future drop downs, volumes, capital requirements, conditions or events, future operating results or the ability to generate sales, the potential exposure of the Partnership to market risks, and statements relating to the expected amount of distributions, coverage ratios and expectations regarding not accessing the capital markets for debt or equity in the near-term are forward-looking statements. Forward-looking statements are not guarantees of performance. They involve risks, uncertainties and assumptions. Future actions, conditions or events and future results of operations may differ materially from those expressed in these forward-looking statements. Forward-looking statements speak only as of the date of this press release, October 30, 2020, and we disclaim any obligation to update publicly or to revise any forward-looking statements, whether as a result of new information, future events or otherwise, except as required by law. All forward-looking statements contained in this document are expressly qualified in their entirety by the cautionary statements contained or referred to in this paragraph. Many of the factors that will determine these results are beyond our ability to control or predict. More information on these risks and other potential factors that could affect the Partnership’s financial results is included in the Partnership’s filings with the U.S. Securities and Exchange Commission, including in the “Risk Factors” and “Management’s Discussion and Analysis of Financial Condition and Results of Operations” sections of the Partnership’s most recently filed periodic reports on Form 10-K and Form 10-Q and subsequent filings. If any of those risks occur, it could cause our actual results to differ materially from those contained in any forward-looking statement. Because of these risks and uncertainties, you should not place undue reliance on any forward-looking statement.</w:t>
      </w:r>
    </w:p>
    <w:p w14:paraId="539A130C" w14:textId="77777777" w:rsidR="002E0961" w:rsidRDefault="002E0961">
      <w:pPr>
        <w:spacing w:line="248" w:lineRule="auto"/>
        <w:rPr>
          <w:i/>
          <w:sz w:val="20"/>
        </w:rPr>
      </w:pPr>
    </w:p>
    <w:p w14:paraId="58D994FD" w14:textId="77777777" w:rsidR="002E0961" w:rsidRDefault="00BD0E60">
      <w:pPr>
        <w:keepNext/>
        <w:spacing w:line="248" w:lineRule="auto"/>
        <w:rPr>
          <w:sz w:val="20"/>
        </w:rPr>
      </w:pPr>
      <w:r>
        <w:rPr>
          <w:sz w:val="20"/>
          <w:u w:val="single"/>
        </w:rPr>
        <w:t>NON-GAAP FINANCIAL MEASURES</w:t>
      </w:r>
    </w:p>
    <w:p w14:paraId="2E35A1C0" w14:textId="77777777" w:rsidR="002E0961" w:rsidRDefault="00BD0E60">
      <w:pPr>
        <w:spacing w:before="120" w:line="248" w:lineRule="auto"/>
        <w:rPr>
          <w:i/>
          <w:sz w:val="20"/>
        </w:rPr>
      </w:pPr>
      <w:r>
        <w:rPr>
          <w:i/>
          <w:sz w:val="20"/>
        </w:rPr>
        <w:t>This press release includes the terms Adjusted EBITDA and cash available for distribution. We believe that the presentation of Adjusted EBITDA and cash available for distribution provides useful information to investors in assessing our financial condition and results of operations. Adjusted EBITDA and cash available for distribution are non-GAAP supplemental financial measures that management and external users of our consolidated financial statements, such as industry analysts, investors, lenders and rating agencies, may use to assess:</w:t>
      </w:r>
    </w:p>
    <w:p w14:paraId="5A8B158B" w14:textId="77777777" w:rsidR="002E0961" w:rsidRDefault="00BD0E60" w:rsidP="00BD0E60">
      <w:pPr>
        <w:numPr>
          <w:ilvl w:val="0"/>
          <w:numId w:val="9"/>
        </w:numPr>
        <w:spacing w:before="120" w:line="248" w:lineRule="auto"/>
        <w:ind w:left="860"/>
        <w:rPr>
          <w:i/>
          <w:sz w:val="20"/>
        </w:rPr>
      </w:pPr>
      <w:r>
        <w:rPr>
          <w:i/>
          <w:sz w:val="20"/>
        </w:rPr>
        <w:t>our operating performance as compared to other publicly traded partnerships in the midstream energy industry, without regard to historical cost basis or, in the case of Adjusted EBITDA, financing methods;</w:t>
      </w:r>
    </w:p>
    <w:p w14:paraId="24C66AB0" w14:textId="77777777" w:rsidR="002E0961" w:rsidRDefault="00BD0E60" w:rsidP="00BD0E60">
      <w:pPr>
        <w:numPr>
          <w:ilvl w:val="0"/>
          <w:numId w:val="9"/>
        </w:numPr>
        <w:spacing w:before="120" w:line="248" w:lineRule="auto"/>
        <w:ind w:left="860"/>
        <w:rPr>
          <w:i/>
          <w:sz w:val="20"/>
        </w:rPr>
      </w:pPr>
      <w:r>
        <w:rPr>
          <w:i/>
          <w:sz w:val="20"/>
        </w:rPr>
        <w:t>the ability of our business to generate sufficient cash to support our decision to make distributions to our unitholders;</w:t>
      </w:r>
    </w:p>
    <w:p w14:paraId="6AF798B5" w14:textId="77777777" w:rsidR="002E0961" w:rsidRDefault="00BD0E60" w:rsidP="00BD0E60">
      <w:pPr>
        <w:numPr>
          <w:ilvl w:val="0"/>
          <w:numId w:val="9"/>
        </w:numPr>
        <w:spacing w:before="120" w:line="248" w:lineRule="auto"/>
        <w:ind w:left="860"/>
        <w:rPr>
          <w:i/>
          <w:sz w:val="20"/>
        </w:rPr>
      </w:pPr>
      <w:r>
        <w:rPr>
          <w:i/>
          <w:sz w:val="20"/>
        </w:rPr>
        <w:t>our ability to incur and service debt and fund capital expenditures; and</w:t>
      </w:r>
    </w:p>
    <w:p w14:paraId="37AA4F7D" w14:textId="77777777" w:rsidR="002E0961" w:rsidRDefault="00BD0E60" w:rsidP="00BD0E60">
      <w:pPr>
        <w:numPr>
          <w:ilvl w:val="0"/>
          <w:numId w:val="9"/>
        </w:numPr>
        <w:spacing w:before="120" w:line="248" w:lineRule="auto"/>
        <w:ind w:left="860"/>
        <w:rPr>
          <w:i/>
          <w:sz w:val="20"/>
        </w:rPr>
      </w:pPr>
      <w:r>
        <w:rPr>
          <w:i/>
          <w:sz w:val="20"/>
        </w:rPr>
        <w:t>the viability of acquisitions and other capital expenditure projects and the returns on investment of various investment opportunities.</w:t>
      </w:r>
    </w:p>
    <w:p w14:paraId="1BB85271" w14:textId="77777777" w:rsidR="002E0961" w:rsidRDefault="00BD0E60">
      <w:pPr>
        <w:spacing w:before="240" w:line="248" w:lineRule="auto"/>
        <w:rPr>
          <w:i/>
          <w:sz w:val="20"/>
        </w:rPr>
      </w:pPr>
      <w:r>
        <w:rPr>
          <w:i/>
          <w:sz w:val="20"/>
        </w:rPr>
        <w:t>The GAAP measures most directly comparable to Adjusted EBITDA and cash available for distribution are net income and net cash provided by operating activities. These non-GAAP measures should not be considered as alternatives to GAAP net income or net cash provided by operating activities. Adjusted EBITDA and cash available for distribution have important limitations as analytical tools because they exclude some but not all items that affect net income and net cash provided by operating activities. They should not be considered in isolation or as substitutes for analysis of our results as reported under GAAP. Additionally, because Adjusted EBITDA and cash available for distribution may be defined differently by other companies in our industry, our definition of Adjusted EBITDA and cash available for distribution may not be comparable to similarly titled measures of other companies, thereby diminishing their utility.</w:t>
      </w:r>
    </w:p>
    <w:p w14:paraId="093F7F56" w14:textId="77777777" w:rsidR="002E0961" w:rsidRDefault="00BD0E60">
      <w:pPr>
        <w:spacing w:before="240" w:line="248" w:lineRule="auto"/>
        <w:rPr>
          <w:b/>
          <w:i/>
          <w:sz w:val="20"/>
          <w:shd w:val="clear" w:color="auto" w:fill="FFFF00"/>
        </w:rPr>
      </w:pPr>
      <w:r>
        <w:rPr>
          <w:i/>
          <w:sz w:val="20"/>
        </w:rPr>
        <w:t xml:space="preserve">References in this press release to Adjusted EBITDA refer to net income before income taxes, interest expense, interest income, gain or loss from disposition of fixed assets, allowance oil reduction to net realizable value, loss from revision of asset retirement obligation, and depreciation, amortization and accretion, </w:t>
      </w:r>
      <w:r>
        <w:rPr>
          <w:i/>
          <w:sz w:val="20"/>
          <w:u w:val="single"/>
        </w:rPr>
        <w:t>plus</w:t>
      </w:r>
      <w:r>
        <w:rPr>
          <w:i/>
          <w:sz w:val="20"/>
        </w:rPr>
        <w:t xml:space="preserve"> cash distributed to Shell Midstream Partners, L.P. from equity method investments for the applicable period, </w:t>
      </w:r>
      <w:r>
        <w:rPr>
          <w:i/>
          <w:sz w:val="20"/>
          <w:u w:val="single"/>
        </w:rPr>
        <w:t>less</w:t>
      </w:r>
      <w:r>
        <w:rPr>
          <w:i/>
          <w:sz w:val="20"/>
        </w:rPr>
        <w:t xml:space="preserve"> equity method distributions included in other income and income from equity method investments. We define Adjusted EBITDA attributable to Shell Midstream Partners, L.P. as Adjusted EBITDA </w:t>
      </w:r>
      <w:r>
        <w:rPr>
          <w:i/>
          <w:sz w:val="20"/>
          <w:u w:val="single"/>
        </w:rPr>
        <w:t>less</w:t>
      </w:r>
      <w:r>
        <w:rPr>
          <w:i/>
          <w:sz w:val="20"/>
        </w:rPr>
        <w:t xml:space="preserve"> Adjusted EBITDA attributable to noncontrolling interests and Adjusted EBITDA attributable to Parent. References to cash available for distribution </w:t>
      </w:r>
      <w:r>
        <w:rPr>
          <w:i/>
          <w:sz w:val="20"/>
        </w:rPr>
        <w:lastRenderedPageBreak/>
        <w:t xml:space="preserve">refer to Adjusted EBITDA attributable to Shell Midstream Partners, L.P., </w:t>
      </w:r>
      <w:r>
        <w:rPr>
          <w:i/>
          <w:sz w:val="20"/>
          <w:u w:val="single"/>
        </w:rPr>
        <w:t>less</w:t>
      </w:r>
      <w:r>
        <w:rPr>
          <w:i/>
          <w:sz w:val="20"/>
        </w:rPr>
        <w:t xml:space="preserve"> maintenance capital expenditures attributable to Shell Midstream Partners, L.P., net interest paid by the Partnership, cash reserves, income taxes paid and Series A Preferred Units distribution, </w:t>
      </w:r>
      <w:r>
        <w:rPr>
          <w:i/>
          <w:sz w:val="20"/>
          <w:u w:val="single"/>
        </w:rPr>
        <w:t>plus</w:t>
      </w:r>
      <w:r>
        <w:rPr>
          <w:i/>
          <w:sz w:val="20"/>
        </w:rPr>
        <w:t xml:space="preserve"> net adjustments from volume deficiency payments attributable to Shell Midstream Partners, L.P., reimbursements from Parent included in partners</w:t>
      </w:r>
      <w:r>
        <w:rPr>
          <w:color w:val="333333"/>
          <w:sz w:val="20"/>
        </w:rPr>
        <w:t>’</w:t>
      </w:r>
      <w:r>
        <w:rPr>
          <w:i/>
          <w:sz w:val="20"/>
        </w:rPr>
        <w:t xml:space="preserve"> capital, principal and interest payments received on financing receivables, and certain one-time payments received. Cash available for distribution will not reflect changes in working capital balances. We define maintenance capital expenditures as cash expenditures, including expenditures for (a) the acquisition (through an asset acquisition, merger, stock acquisition, equity acquisition or other form of investment) by the Partnership or any of its subsidiaries of existing assets or assets under construction, (b) the construction or development of new capital assets by the Partnership or any of its subsidiaries, (c) the replacement, improvement or expansion of existing capital assets by the Partnership or any of its subsidiaries or (d) a capital contribution by the Partnership or any of its subsidiaries to a person that is not a subsidiary in which the Partnership or any of its subsidiaries has, or after such capital contribution will have, directly or indirectly, an equity interest, to fund the Partnership or such subsidiary’s share of the cost of the acquisition, construction or development of new, or the replacement, improvement or expansion of existing, capital assets by such person, in each case if and to the extent such acquisition, construction, development, replacement, improvement or expansion is made to maintain, over the long-term, the operating capacity or operating income of the Partnership and its subsidiaries, in the case of clauses (a), (b) and (c), or such person, in the case of clause (d), as the operating capacity or operating income of the Partnership and its subsidiaries or such person, as the case may be, existed immediately prior to such acquisition, construction, development, replacement, improvement, expansion or capital contribution. For purposes of this definition, “long-term” generally refers to a period of not less than twelve months.</w:t>
      </w:r>
    </w:p>
    <w:p w14:paraId="6404C841" w14:textId="77777777" w:rsidR="002E0961" w:rsidRDefault="002E0961">
      <w:pPr>
        <w:spacing w:before="240" w:line="248" w:lineRule="auto"/>
        <w:rPr>
          <w:i/>
          <w:sz w:val="20"/>
        </w:rPr>
      </w:pPr>
    </w:p>
    <w:p w14:paraId="2683406E" w14:textId="77777777" w:rsidR="002E0961" w:rsidRDefault="00BD0E60">
      <w:pPr>
        <w:spacing w:line="248" w:lineRule="auto"/>
        <w:rPr>
          <w:i/>
          <w:sz w:val="16"/>
        </w:rPr>
      </w:pPr>
      <w:r>
        <w:rPr>
          <w:sz w:val="16"/>
        </w:rPr>
        <w:t>October 30, 2020</w:t>
      </w:r>
    </w:p>
    <w:p w14:paraId="144B7522" w14:textId="77777777" w:rsidR="002E0961" w:rsidRDefault="002E0961">
      <w:pPr>
        <w:spacing w:line="248" w:lineRule="auto"/>
        <w:rPr>
          <w:sz w:val="20"/>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2E0961" w14:paraId="07CC2B81" w14:textId="77777777">
        <w:trPr>
          <w:cantSplit/>
          <w:trHeight w:hRule="exact" w:val="345"/>
        </w:trPr>
        <w:tc>
          <w:tcPr>
            <w:tcW w:w="10800" w:type="dxa"/>
            <w:tcBorders>
              <w:top w:val="single" w:sz="16" w:space="0" w:color="000000"/>
              <w:left w:val="nil"/>
              <w:bottom w:val="single" w:sz="16" w:space="0" w:color="000000"/>
              <w:right w:val="nil"/>
            </w:tcBorders>
            <w:tcMar>
              <w:top w:w="0" w:type="dxa"/>
              <w:left w:w="53" w:type="dxa"/>
              <w:bottom w:w="0" w:type="dxa"/>
              <w:right w:w="53" w:type="dxa"/>
            </w:tcMar>
            <w:vAlign w:val="bottom"/>
          </w:tcPr>
          <w:p w14:paraId="2DD96388" w14:textId="77777777" w:rsidR="002E0961" w:rsidRDefault="00BD0E60">
            <w:pPr>
              <w:spacing w:before="35" w:after="30" w:line="200" w:lineRule="auto"/>
            </w:pPr>
            <w:r>
              <w:rPr>
                <w:color w:val="000000"/>
                <w:sz w:val="18"/>
              </w:rPr>
              <w:t xml:space="preserve">The information in this Report reflects the unaudited condensed consolidated financial position and results of Shell Midstream Partners, L.P.  </w:t>
            </w:r>
          </w:p>
        </w:tc>
      </w:tr>
    </w:tbl>
    <w:p w14:paraId="3EADB833" w14:textId="77777777" w:rsidR="002E0961" w:rsidRDefault="002E0961">
      <w:pPr>
        <w:spacing w:line="248" w:lineRule="auto"/>
        <w:rPr>
          <w:sz w:val="20"/>
        </w:rPr>
      </w:pPr>
    </w:p>
    <w:p w14:paraId="2980492E" w14:textId="77777777" w:rsidR="002E0961" w:rsidRDefault="002E0961">
      <w:pPr>
        <w:spacing w:line="248" w:lineRule="auto"/>
        <w:rPr>
          <w:sz w:val="20"/>
        </w:rPr>
      </w:pPr>
    </w:p>
    <w:p w14:paraId="39843C95" w14:textId="77777777" w:rsidR="002E0961" w:rsidRDefault="00BD0E60">
      <w:pPr>
        <w:spacing w:line="248" w:lineRule="auto"/>
        <w:ind w:right="340"/>
        <w:rPr>
          <w:sz w:val="18"/>
        </w:rPr>
      </w:pPr>
      <w:r>
        <w:rPr>
          <w:sz w:val="18"/>
        </w:rPr>
        <w:t xml:space="preserve">Inquiries: </w:t>
      </w:r>
    </w:p>
    <w:p w14:paraId="2114F5ED" w14:textId="77777777" w:rsidR="002E0961" w:rsidRDefault="00BD0E60">
      <w:pPr>
        <w:spacing w:line="248" w:lineRule="auto"/>
        <w:ind w:right="340"/>
        <w:rPr>
          <w:sz w:val="18"/>
        </w:rPr>
      </w:pPr>
      <w:r>
        <w:rPr>
          <w:sz w:val="18"/>
        </w:rPr>
        <w:t>Shell Media Relations</w:t>
      </w:r>
    </w:p>
    <w:p w14:paraId="3C2B37C0" w14:textId="77777777" w:rsidR="002E0961" w:rsidRDefault="00BD0E60">
      <w:pPr>
        <w:spacing w:line="248" w:lineRule="auto"/>
        <w:ind w:right="340"/>
        <w:rPr>
          <w:sz w:val="18"/>
        </w:rPr>
      </w:pPr>
      <w:r>
        <w:rPr>
          <w:sz w:val="18"/>
        </w:rPr>
        <w:t>Americas: +1 832 337 4355</w:t>
      </w:r>
    </w:p>
    <w:p w14:paraId="6106927F" w14:textId="77777777" w:rsidR="002E0961" w:rsidRDefault="00BD0E60">
      <w:pPr>
        <w:spacing w:before="240" w:line="248" w:lineRule="auto"/>
        <w:ind w:right="340"/>
        <w:rPr>
          <w:sz w:val="18"/>
        </w:rPr>
      </w:pPr>
      <w:r>
        <w:rPr>
          <w:sz w:val="18"/>
        </w:rPr>
        <w:t>Shell Investor Relations</w:t>
      </w:r>
    </w:p>
    <w:p w14:paraId="542EF27E" w14:textId="77777777" w:rsidR="002E0961" w:rsidRDefault="00BD0E60">
      <w:pPr>
        <w:spacing w:line="248" w:lineRule="auto"/>
        <w:ind w:right="340"/>
        <w:rPr>
          <w:sz w:val="18"/>
        </w:rPr>
      </w:pPr>
      <w:r>
        <w:rPr>
          <w:sz w:val="18"/>
        </w:rPr>
        <w:t>North America: +1 832 337 2034</w:t>
      </w:r>
    </w:p>
    <w:p w14:paraId="2819BC3E" w14:textId="77777777" w:rsidR="002E0961" w:rsidRDefault="002E0961">
      <w:pPr>
        <w:spacing w:line="248" w:lineRule="auto"/>
        <w:ind w:right="340"/>
        <w:rPr>
          <w:sz w:val="18"/>
        </w:rPr>
      </w:pPr>
    </w:p>
    <w:p w14:paraId="7E5762A6" w14:textId="77777777" w:rsidR="002E0961" w:rsidRDefault="00BD0E60">
      <w:pPr>
        <w:spacing w:line="248" w:lineRule="auto"/>
        <w:ind w:right="340"/>
        <w:rPr>
          <w:sz w:val="18"/>
        </w:rPr>
      </w:pPr>
      <w:r>
        <w:rPr>
          <w:sz w:val="18"/>
        </w:rPr>
        <w:t>SHELL and the SHELL Pecten are registered trademarks of Shell Trademark Management, B.V. used under license.</w:t>
      </w:r>
    </w:p>
    <w:sectPr w:rsidR="002E0961">
      <w:headerReference w:type="default" r:id="rId16"/>
      <w:footerReference w:type="default" r:id="rId17"/>
      <w:pgSz w:w="12240" w:h="15840"/>
      <w:pgMar w:top="580" w:right="720" w:bottom="580" w:left="720" w:header="270" w:footer="2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C4615" w14:textId="77777777" w:rsidR="00E331AA" w:rsidRDefault="00E331AA">
      <w:r>
        <w:separator/>
      </w:r>
    </w:p>
  </w:endnote>
  <w:endnote w:type="continuationSeparator" w:id="0">
    <w:p w14:paraId="2AAEFA80" w14:textId="77777777" w:rsidR="00E331AA" w:rsidRDefault="00E33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DC4D1" w14:textId="77777777" w:rsidR="002E0961" w:rsidRDefault="002E0961">
    <w:pPr>
      <w:spacing w:line="248" w:lineRule="auto"/>
      <w:rPr>
        <w:rFonts w:ascii="Arial" w:eastAsia="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A2C7" w14:textId="77777777" w:rsidR="002E0961" w:rsidRDefault="002E0961">
    <w:pPr>
      <w:spacing w:line="248" w:lineRule="auto"/>
      <w:rPr>
        <w:rFonts w:ascii="Arial" w:eastAsia="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39B6F" w14:textId="77777777" w:rsidR="002E0961" w:rsidRDefault="002E0961">
    <w:pPr>
      <w:spacing w:line="248" w:lineRule="auto"/>
      <w:rPr>
        <w:rFonts w:ascii="Arial" w:eastAsia="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43496" w14:textId="77777777" w:rsidR="00E331AA" w:rsidRDefault="00E331AA">
      <w:r>
        <w:separator/>
      </w:r>
    </w:p>
  </w:footnote>
  <w:footnote w:type="continuationSeparator" w:id="0">
    <w:p w14:paraId="16AF55AC" w14:textId="77777777" w:rsidR="00E331AA" w:rsidRDefault="00E33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75C3F" w14:textId="77777777" w:rsidR="002E0961" w:rsidRDefault="002E0961">
    <w:pPr>
      <w:spacing w:line="248" w:lineRule="auto"/>
      <w:rPr>
        <w:rFonts w:ascii="Arial" w:eastAsia="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7AA66" w14:textId="77777777" w:rsidR="002E0961" w:rsidRDefault="002E0961">
    <w:pPr>
      <w:spacing w:line="248" w:lineRule="auto"/>
      <w:rPr>
        <w:rFonts w:ascii="Arial" w:eastAsia="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7CC0D" w14:textId="77777777" w:rsidR="002E0961" w:rsidRDefault="002E0961">
    <w:pPr>
      <w:spacing w:line="248" w:lineRule="auto"/>
      <w:rPr>
        <w:rFonts w:ascii="Arial" w:eastAsia="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styleLink w:val="DiscSYMBOL"/>
    <w:lvl w:ilvl="0">
      <w:start w:val="1"/>
      <w:numFmt w:val="decimal"/>
      <w:lvlText w:val="•"/>
      <w:lvlJc w:val="left"/>
      <w:pPr>
        <w:tabs>
          <w:tab w:val="num" w:pos="720"/>
        </w:tabs>
        <w:ind w:left="720" w:hanging="360"/>
      </w:p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 w15:restartNumberingAfterBreak="0">
    <w:nsid w:val="00000006"/>
    <w:multiLevelType w:val="multilevel"/>
    <w:tmpl w:val="00000001"/>
    <w:lvl w:ilvl="0">
      <w:start w:val="1"/>
      <w:numFmt w:val="decimal"/>
      <w:lvlText w:val="•"/>
      <w:lvlJc w:val="left"/>
      <w:pPr>
        <w:tabs>
          <w:tab w:val="num" w:pos="36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 w15:restartNumberingAfterBreak="0">
    <w:nsid w:val="0000001C"/>
    <w:multiLevelType w:val="multilevel"/>
    <w:tmpl w:val="00000001"/>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 w15:restartNumberingAfterBreak="0">
    <w:nsid w:val="0000002F"/>
    <w:multiLevelType w:val="multilevel"/>
    <w:tmpl w:val="00000001"/>
    <w:lvl w:ilvl="0">
      <w:start w:val="1"/>
      <w:numFmt w:val="decimal"/>
      <w:lvlText w:val="•"/>
      <w:lvlJc w:val="left"/>
      <w:pPr>
        <w:tabs>
          <w:tab w:val="num" w:pos="36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 w15:restartNumberingAfterBreak="0">
    <w:nsid w:val="00000030"/>
    <w:multiLevelType w:val="multilevel"/>
    <w:tmpl w:val="00000030"/>
    <w:styleLink w:val="CircleSYMBOL"/>
    <w:lvl w:ilvl="0">
      <w:start w:val="1"/>
      <w:numFmt w:val="decimal"/>
      <w:lvlText w:val="◦"/>
      <w:lvlJc w:val="left"/>
      <w:pPr>
        <w:tabs>
          <w:tab w:val="num" w:pos="720"/>
        </w:tabs>
        <w:ind w:left="720" w:hanging="360"/>
      </w:p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 w15:restartNumberingAfterBreak="0">
    <w:nsid w:val="00000038"/>
    <w:multiLevelType w:val="multilevel"/>
    <w:tmpl w:val="00000030"/>
    <w:lvl w:ilvl="0">
      <w:start w:val="1"/>
      <w:numFmt w:val="decimal"/>
      <w:lvlText w:val="◦"/>
      <w:lvlJc w:val="left"/>
      <w:pPr>
        <w:tabs>
          <w:tab w:val="num" w:pos="108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 w15:restartNumberingAfterBreak="0">
    <w:nsid w:val="0000003F"/>
    <w:multiLevelType w:val="multilevel"/>
    <w:tmpl w:val="00000001"/>
    <w:lvl w:ilvl="0">
      <w:start w:val="1"/>
      <w:numFmt w:val="decimal"/>
      <w:lvlText w:val="•"/>
      <w:lvlJc w:val="left"/>
      <w:pPr>
        <w:tabs>
          <w:tab w:val="num" w:pos="36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7" w15:restartNumberingAfterBreak="0">
    <w:nsid w:val="00000065"/>
    <w:multiLevelType w:val="multilevel"/>
    <w:tmpl w:val="00000001"/>
    <w:lvl w:ilvl="0">
      <w:start w:val="1"/>
      <w:numFmt w:val="decimal"/>
      <w:lvlText w:val="•"/>
      <w:lvlJc w:val="left"/>
      <w:pPr>
        <w:tabs>
          <w:tab w:val="num" w:pos="36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8" w15:restartNumberingAfterBreak="0">
    <w:nsid w:val="00000066"/>
    <w:multiLevelType w:val="multilevel"/>
    <w:tmpl w:val="00000001"/>
    <w:lvl w:ilvl="0">
      <w:start w:val="1"/>
      <w:numFmt w:val="decimal"/>
      <w:lvlText w:val="•"/>
      <w:lvlJc w:val="left"/>
      <w:pPr>
        <w:tabs>
          <w:tab w:val="num" w:pos="86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92912"/>
    <w:rsid w:val="00245D7D"/>
    <w:rsid w:val="002E0961"/>
    <w:rsid w:val="0043546D"/>
    <w:rsid w:val="009C4C62"/>
    <w:rsid w:val="00A77B3E"/>
    <w:rsid w:val="00BD0E60"/>
    <w:rsid w:val="00CA2A55"/>
    <w:rsid w:val="00E331AA"/>
    <w:rsid w:val="00EA0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F4FFE"/>
  <w15:docId w15:val="{32BDE305-B3BD-4E6B-BF4E-1A098BA42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DiscSYMBOL">
    <w:name w:val="DiscSYMBOL•◦▪"/>
    <w:pPr>
      <w:numPr>
        <w:numId w:val="1"/>
      </w:numPr>
    </w:pPr>
  </w:style>
  <w:style w:type="numbering" w:customStyle="1" w:styleId="CircleSYMBOL">
    <w:name w:val="CircleSYMBOL◦▪•"/>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3EC9B552EE1439E6678242E4D422E" ma:contentTypeVersion="13" ma:contentTypeDescription="Create a new document." ma:contentTypeScope="" ma:versionID="1e919402ee63969a00585c47d5a200e6">
  <xsd:schema xmlns:xsd="http://www.w3.org/2001/XMLSchema" xmlns:xs="http://www.w3.org/2001/XMLSchema" xmlns:p="http://schemas.microsoft.com/office/2006/metadata/properties" xmlns:ns3="2fab29db-158b-4bc6-af15-9980e86d9110" xmlns:ns4="8e9d703f-bf27-493a-b83f-a19061e24845" targetNamespace="http://schemas.microsoft.com/office/2006/metadata/properties" ma:root="true" ma:fieldsID="99922a6b64879831516ebd4415eb56e9" ns3:_="" ns4:_="">
    <xsd:import namespace="2fab29db-158b-4bc6-af15-9980e86d9110"/>
    <xsd:import namespace="8e9d703f-bf27-493a-b83f-a19061e248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b29db-158b-4bc6-af15-9980e86d9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9d703f-bf27-493a-b83f-a19061e248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FB6E6F-9071-408B-BEFB-7B534425B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b29db-158b-4bc6-af15-9980e86d9110"/>
    <ds:schemaRef ds:uri="8e9d703f-bf27-493a-b83f-a19061e24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A9E32-86A4-43DD-A40B-29EBAEF57DD1}">
  <ds:schemaRefs>
    <ds:schemaRef ds:uri="http://schemas.microsoft.com/sharepoint/v3/contenttype/forms"/>
  </ds:schemaRefs>
</ds:datastoreItem>
</file>

<file path=customXml/itemProps3.xml><?xml version="1.0" encoding="utf-8"?>
<ds:datastoreItem xmlns:ds="http://schemas.openxmlformats.org/officeDocument/2006/customXml" ds:itemID="{067B8F00-5EB2-488E-A2DE-ACC4F6D2C7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3778</Words>
  <Characters>21541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Q3 Exhibit 99.1</dc:title>
  <dc:creator>Parker, Jamie SHLOIL-FR</dc:creator>
  <cp:lastModifiedBy>Arata, Anna J SHLOIL-ERM/A</cp:lastModifiedBy>
  <cp:revision>2</cp:revision>
  <dcterms:created xsi:type="dcterms:W3CDTF">2020-10-29T21:39:00Z</dcterms:created>
  <dcterms:modified xsi:type="dcterms:W3CDTF">2020-10-29T21:39:00Z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0x010100F263EC9B552EE1439E6678242E4D422E</vt:lpwstr>
  </property>
</Properties>
</file>