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B31A293" w:rsidR="009747AF" w:rsidRDefault="00CD7E4C">
      <w:pPr>
        <w:jc w:val="center"/>
        <w:rPr>
          <w:b/>
          <w:highlight w:val="white"/>
        </w:rPr>
      </w:pPr>
      <w:bookmarkStart w:id="0" w:name="_GoBack"/>
      <w:bookmarkEnd w:id="0"/>
      <w:r>
        <w:rPr>
          <w:b/>
          <w:highlight w:val="white"/>
        </w:rPr>
        <w:t>MINILUXE</w:t>
      </w:r>
      <w:r w:rsidR="00E37594">
        <w:rPr>
          <w:b/>
          <w:highlight w:val="white"/>
        </w:rPr>
        <w:t xml:space="preserve"> REPORTS </w:t>
      </w:r>
      <w:r w:rsidR="00FC08F5">
        <w:rPr>
          <w:b/>
          <w:highlight w:val="white"/>
        </w:rPr>
        <w:t xml:space="preserve">FINANCIAL </w:t>
      </w:r>
      <w:r w:rsidR="00E37594">
        <w:rPr>
          <w:b/>
          <w:highlight w:val="white"/>
        </w:rPr>
        <w:t>RESULTS FOR THE 3</w:t>
      </w:r>
      <w:r w:rsidR="00E37594" w:rsidRPr="00E37594">
        <w:rPr>
          <w:b/>
          <w:highlight w:val="white"/>
          <w:vertAlign w:val="superscript"/>
        </w:rPr>
        <w:t>rd</w:t>
      </w:r>
      <w:r w:rsidR="00E37594">
        <w:rPr>
          <w:b/>
          <w:highlight w:val="white"/>
        </w:rPr>
        <w:t xml:space="preserve"> Quarter of 2021.</w:t>
      </w:r>
      <w:r w:rsidR="00FC08F5">
        <w:rPr>
          <w:b/>
          <w:highlight w:val="white"/>
        </w:rPr>
        <w:t xml:space="preserve"> </w:t>
      </w:r>
    </w:p>
    <w:p w14:paraId="06AB19DD" w14:textId="77777777" w:rsidR="00E37594" w:rsidRDefault="00E37594" w:rsidP="00E37594">
      <w:pPr>
        <w:spacing w:line="240" w:lineRule="auto"/>
      </w:pPr>
    </w:p>
    <w:p w14:paraId="7590C263" w14:textId="072C2B68" w:rsidR="00E37594" w:rsidRPr="00E37594" w:rsidRDefault="00E37594" w:rsidP="00E37594">
      <w:pPr>
        <w:spacing w:line="240" w:lineRule="auto"/>
        <w:jc w:val="center"/>
        <w:rPr>
          <w:rFonts w:eastAsia="Times New Roman"/>
          <w:b/>
          <w:bCs/>
          <w:color w:val="000000" w:themeColor="text1"/>
          <w:sz w:val="24"/>
          <w:szCs w:val="24"/>
          <w:lang w:val="en-US"/>
        </w:rPr>
      </w:pPr>
      <w:r w:rsidRPr="00E37594">
        <w:rPr>
          <w:rFonts w:eastAsia="Times New Roman"/>
          <w:b/>
          <w:bCs/>
          <w:color w:val="000000" w:themeColor="text1"/>
          <w:lang w:val="en-US"/>
        </w:rPr>
        <w:t xml:space="preserve">Reports YOY </w:t>
      </w:r>
      <w:r>
        <w:rPr>
          <w:rFonts w:eastAsia="Times New Roman"/>
          <w:b/>
          <w:bCs/>
          <w:color w:val="000000" w:themeColor="text1"/>
          <w:lang w:val="en-US"/>
        </w:rPr>
        <w:t>R</w:t>
      </w:r>
      <w:r w:rsidRPr="00E37594">
        <w:rPr>
          <w:rFonts w:eastAsia="Times New Roman"/>
          <w:b/>
          <w:bCs/>
          <w:color w:val="000000" w:themeColor="text1"/>
          <w:lang w:val="en-US"/>
        </w:rPr>
        <w:t xml:space="preserve">evenue </w:t>
      </w:r>
      <w:r>
        <w:rPr>
          <w:rFonts w:eastAsia="Times New Roman"/>
          <w:b/>
          <w:bCs/>
          <w:color w:val="000000" w:themeColor="text1"/>
          <w:lang w:val="en-US"/>
        </w:rPr>
        <w:t>G</w:t>
      </w:r>
      <w:r w:rsidRPr="00E37594">
        <w:rPr>
          <w:rFonts w:eastAsia="Times New Roman"/>
          <w:b/>
          <w:bCs/>
          <w:color w:val="000000" w:themeColor="text1"/>
          <w:lang w:val="en-US"/>
        </w:rPr>
        <w:t>rowth of over 82%</w:t>
      </w:r>
      <w:r w:rsidR="009F04FA">
        <w:rPr>
          <w:rFonts w:eastAsia="Times New Roman"/>
          <w:b/>
          <w:bCs/>
          <w:color w:val="000000" w:themeColor="text1"/>
          <w:lang w:val="en-US"/>
        </w:rPr>
        <w:t xml:space="preserve"> and opens TSX Venture Exchange</w:t>
      </w:r>
    </w:p>
    <w:p w14:paraId="00000006" w14:textId="1A9CF3A1" w:rsidR="009747AF" w:rsidRPr="00E37594" w:rsidRDefault="009747AF">
      <w:pPr>
        <w:rPr>
          <w:highlight w:val="white"/>
        </w:rPr>
      </w:pPr>
    </w:p>
    <w:p w14:paraId="00000009" w14:textId="609FDD4C" w:rsidR="009747AF" w:rsidRPr="005F2432" w:rsidRDefault="00CD7E4C" w:rsidP="008A4BFA">
      <w:pPr>
        <w:jc w:val="both"/>
      </w:pPr>
      <w:r w:rsidRPr="00CD7E4C">
        <w:t xml:space="preserve">Toronto, Ontario – </w:t>
      </w:r>
      <w:r w:rsidR="00FC08F5">
        <w:t>December</w:t>
      </w:r>
      <w:r w:rsidRPr="00CD7E4C">
        <w:t xml:space="preserve"> 1</w:t>
      </w:r>
      <w:r w:rsidR="00AA7348">
        <w:t>5</w:t>
      </w:r>
      <w:r w:rsidRPr="00CD7E4C">
        <w:t xml:space="preserve">, 2021 – </w:t>
      </w:r>
      <w:r w:rsidR="00597277" w:rsidRPr="008A4BFA">
        <w:t>MiniLuxe</w:t>
      </w:r>
      <w:r w:rsidR="00FC08F5">
        <w:t>, Inc.</w:t>
      </w:r>
      <w:r w:rsidR="004E510D">
        <w:t xml:space="preserve"> (“</w:t>
      </w:r>
      <w:r w:rsidR="00425B3A">
        <w:t>MiniLuxe</w:t>
      </w:r>
      <w:r w:rsidR="004E510D">
        <w:t>”)</w:t>
      </w:r>
      <w:r w:rsidR="00FC08F5">
        <w:t xml:space="preserve"> a wholly </w:t>
      </w:r>
      <w:r w:rsidR="00B00C66">
        <w:t>-</w:t>
      </w:r>
      <w:r w:rsidR="00FC08F5">
        <w:t>owned subsidiary of MiniLuxe</w:t>
      </w:r>
      <w:r w:rsidR="00597277" w:rsidRPr="008A4BFA">
        <w:t xml:space="preserve"> Holding Corp</w:t>
      </w:r>
      <w:r>
        <w:t xml:space="preserve"> </w:t>
      </w:r>
      <w:r w:rsidRPr="00CD7E4C">
        <w:t xml:space="preserve">(TSXV: </w:t>
      </w:r>
      <w:r>
        <w:t>MNLX</w:t>
      </w:r>
      <w:r w:rsidRPr="00CD7E4C">
        <w:t>)</w:t>
      </w:r>
      <w:r w:rsidR="00FC08F5">
        <w:t>,</w:t>
      </w:r>
      <w:r w:rsidR="00887C4D">
        <w:t xml:space="preserve"> </w:t>
      </w:r>
      <w:r w:rsidR="008A4BFA" w:rsidRPr="008A4BFA">
        <w:t xml:space="preserve">is </w:t>
      </w:r>
      <w:r w:rsidR="00C71294">
        <w:t>announc</w:t>
      </w:r>
      <w:r w:rsidR="00B12BE1">
        <w:t>ing</w:t>
      </w:r>
      <w:r w:rsidR="008A4BFA" w:rsidRPr="008A4BFA">
        <w:t xml:space="preserve"> that it has </w:t>
      </w:r>
      <w:r w:rsidR="00FC08F5">
        <w:t xml:space="preserve">filed its </w:t>
      </w:r>
      <w:r w:rsidR="00B00C66">
        <w:t xml:space="preserve">interim financial statements </w:t>
      </w:r>
      <w:r w:rsidR="00FC08F5">
        <w:t>for the 13 and 39 weeks ended September 26, 2021 and September 27, 202</w:t>
      </w:r>
      <w:r w:rsidR="00F37240">
        <w:t xml:space="preserve">0 (“Q3 Financials”). </w:t>
      </w:r>
    </w:p>
    <w:p w14:paraId="16012DA3" w14:textId="77777777" w:rsidR="004E510D" w:rsidRDefault="004E510D" w:rsidP="008C67C2">
      <w:pPr>
        <w:jc w:val="both"/>
      </w:pPr>
    </w:p>
    <w:p w14:paraId="066CDAEB" w14:textId="11AC9F54" w:rsidR="00B12BE1" w:rsidRDefault="00425B3A" w:rsidP="008C67C2">
      <w:pPr>
        <w:jc w:val="both"/>
      </w:pPr>
      <w:r>
        <w:t xml:space="preserve">MiniLuxe </w:t>
      </w:r>
      <w:r w:rsidR="004E510D">
        <w:t>is pleased to report that revenue</w:t>
      </w:r>
      <w:r w:rsidR="00B12BE1">
        <w:t xml:space="preserve"> growth</w:t>
      </w:r>
      <w:r w:rsidR="004E510D">
        <w:t xml:space="preserve"> for the </w:t>
      </w:r>
      <w:r w:rsidR="00735600">
        <w:t>13-week</w:t>
      </w:r>
      <w:r w:rsidR="004E510D">
        <w:t xml:space="preserve"> period ended September 26, 2021</w:t>
      </w:r>
      <w:r w:rsidR="00BD53D7">
        <w:t xml:space="preserve"> </w:t>
      </w:r>
      <w:r w:rsidR="00735600">
        <w:t>exhibited</w:t>
      </w:r>
      <w:r w:rsidR="004E510D">
        <w:t xml:space="preserve"> </w:t>
      </w:r>
      <w:r w:rsidR="00567AE0">
        <w:t>continuing</w:t>
      </w:r>
      <w:r w:rsidR="004E510D">
        <w:t xml:space="preserve"> momentum</w:t>
      </w:r>
      <w:r w:rsidR="00B00C66">
        <w:t>,</w:t>
      </w:r>
      <w:r w:rsidR="004E510D">
        <w:t xml:space="preserve"> </w:t>
      </w:r>
      <w:r w:rsidR="00B12BE1">
        <w:t xml:space="preserve">returning the business to a run-rate </w:t>
      </w:r>
      <w:r w:rsidR="004E510D">
        <w:t xml:space="preserve">in line with </w:t>
      </w:r>
      <w:r w:rsidR="00E75305">
        <w:t xml:space="preserve">peak </w:t>
      </w:r>
      <w:r w:rsidR="004E510D">
        <w:t xml:space="preserve">2019 </w:t>
      </w:r>
      <w:r w:rsidR="00735600">
        <w:t xml:space="preserve">like-for-like </w:t>
      </w:r>
      <w:r w:rsidR="004E510D">
        <w:t>pre-COVID 19 revenue</w:t>
      </w:r>
      <w:r w:rsidR="00735600">
        <w:t xml:space="preserve"> figures. T</w:t>
      </w:r>
      <w:r w:rsidR="00127E67">
        <w:t xml:space="preserve">otal revenue </w:t>
      </w:r>
      <w:r w:rsidR="002A7F8E">
        <w:t xml:space="preserve">of </w:t>
      </w:r>
      <w:r w:rsidR="00B00C66">
        <w:t>USD</w:t>
      </w:r>
      <w:r w:rsidR="002A7F8E">
        <w:t xml:space="preserve">$4.7M </w:t>
      </w:r>
      <w:r w:rsidR="00B12BE1">
        <w:t xml:space="preserve">for the third quarter </w:t>
      </w:r>
      <w:r w:rsidR="00127E67">
        <w:t>increas</w:t>
      </w:r>
      <w:r w:rsidR="00735600">
        <w:t>ed</w:t>
      </w:r>
      <w:r w:rsidR="00127E67">
        <w:t xml:space="preserve"> 82% over </w:t>
      </w:r>
      <w:r w:rsidR="00B12BE1">
        <w:t xml:space="preserve">the same period in </w:t>
      </w:r>
      <w:r w:rsidR="00127E67">
        <w:t xml:space="preserve">2020 </w:t>
      </w:r>
      <w:r w:rsidR="00735600">
        <w:t xml:space="preserve">and gross profit </w:t>
      </w:r>
      <w:r w:rsidR="002A7F8E">
        <w:t xml:space="preserve">of </w:t>
      </w:r>
      <w:r w:rsidR="00B00C66">
        <w:t>USD</w:t>
      </w:r>
      <w:r w:rsidR="002A7F8E">
        <w:t xml:space="preserve">$2.2M </w:t>
      </w:r>
      <w:r w:rsidR="00735600">
        <w:t xml:space="preserve">doubled </w:t>
      </w:r>
      <w:r w:rsidR="00B12BE1">
        <w:t>relative to the prior period.</w:t>
      </w:r>
      <w:r w:rsidR="00804BB5">
        <w:t xml:space="preserve"> This performance was achieved despite reduced operating hours due to the pandemic. </w:t>
      </w:r>
    </w:p>
    <w:p w14:paraId="2C33E7BD" w14:textId="77777777" w:rsidR="00624A41" w:rsidRDefault="00624A41" w:rsidP="00624A41"/>
    <w:p w14:paraId="140FC90F" w14:textId="6D994689" w:rsidR="00624A41" w:rsidRPr="00624A41" w:rsidRDefault="00624A41" w:rsidP="00624A41">
      <w:r>
        <w:rPr>
          <w:rFonts w:eastAsiaTheme="minorHAnsi"/>
        </w:rPr>
        <w:t xml:space="preserve">“Against the backdrop of labor shortages, pandemic mandates and surges, we are proud that </w:t>
      </w:r>
      <w:proofErr w:type="spellStart"/>
      <w:r>
        <w:rPr>
          <w:rFonts w:eastAsiaTheme="minorHAnsi"/>
        </w:rPr>
        <w:t>MiniLuxe’s</w:t>
      </w:r>
      <w:proofErr w:type="spellEnd"/>
      <w:r>
        <w:rPr>
          <w:rFonts w:eastAsiaTheme="minorHAnsi"/>
        </w:rPr>
        <w:t xml:space="preserve"> standards for clean self-care services and products demonstrated continued resiliency and growth,” said Zoe Krislock, CEO of MiniLuxe.</w:t>
      </w:r>
    </w:p>
    <w:p w14:paraId="526DD1B1" w14:textId="742F8442" w:rsidR="00624A41" w:rsidRDefault="00624A41" w:rsidP="008C67C2">
      <w:pPr>
        <w:jc w:val="both"/>
      </w:pPr>
    </w:p>
    <w:p w14:paraId="1DA3E0A3" w14:textId="1AB5226F" w:rsidR="003F1BD6" w:rsidRDefault="003F1BD6" w:rsidP="003F1BD6">
      <w:pPr>
        <w:jc w:val="both"/>
      </w:pPr>
      <w:r>
        <w:t xml:space="preserve">On December 8, 2021, MiniLuxe opened the TSX Venture exchange, further details of which can be found </w:t>
      </w:r>
      <w:hyperlink r:id="rId7" w:history="1">
        <w:r w:rsidRPr="000A2D59">
          <w:rPr>
            <w:rStyle w:val="Hyperlink"/>
          </w:rPr>
          <w:t>here</w:t>
        </w:r>
      </w:hyperlink>
      <w:r>
        <w:t xml:space="preserve">, together with comments from the TMX Group and Anthony Tjan, Executive Chairman of MiniLuxe Holding Corp. </w:t>
      </w:r>
    </w:p>
    <w:p w14:paraId="5DF1BB1B" w14:textId="77777777" w:rsidR="003F1BD6" w:rsidRDefault="003F1BD6" w:rsidP="008C67C2">
      <w:pPr>
        <w:jc w:val="both"/>
      </w:pPr>
    </w:p>
    <w:p w14:paraId="078CC180" w14:textId="43DC2B80" w:rsidR="00CD7E4C" w:rsidRDefault="00CD7E4C" w:rsidP="00CD7E4C">
      <w:pPr>
        <w:jc w:val="both"/>
      </w:pPr>
    </w:p>
    <w:p w14:paraId="00000013" w14:textId="2997C25C" w:rsidR="009747AF" w:rsidRPr="00CD7E4C" w:rsidRDefault="008D67B0" w:rsidP="00CD7E4C">
      <w:pPr>
        <w:jc w:val="both"/>
      </w:pPr>
      <w:hyperlink r:id="rId8" w:history="1">
        <w:r w:rsidR="00597277" w:rsidRPr="009F04FA">
          <w:rPr>
            <w:rStyle w:val="Hyperlink"/>
            <w:b/>
          </w:rPr>
          <w:t>About MiniLuxe</w:t>
        </w:r>
      </w:hyperlink>
    </w:p>
    <w:p w14:paraId="5A629F7D" w14:textId="77777777" w:rsidR="000D7B67" w:rsidRDefault="000D7B67" w:rsidP="000D7B67">
      <w:pPr>
        <w:jc w:val="both"/>
      </w:pPr>
    </w:p>
    <w:p w14:paraId="00000014" w14:textId="7C18B19C" w:rsidR="009747AF" w:rsidRDefault="00597277" w:rsidP="000D7B67">
      <w:pPr>
        <w:jc w:val="both"/>
      </w:pPr>
      <w:r>
        <w:t>MiniLuxe, a Delaware corporation based in Boston, Massachusetts is a digital</w:t>
      </w:r>
      <w:r w:rsidR="00A11406">
        <w:t>-first</w:t>
      </w:r>
      <w:r>
        <w:t>, socially-responsible lifestyle brand and</w:t>
      </w:r>
      <w:r w:rsidR="00A11406">
        <w:t xml:space="preserve"> talent</w:t>
      </w:r>
      <w:r>
        <w:t xml:space="preserve"> empowerment platform</w:t>
      </w:r>
      <w:r w:rsidR="00A11406">
        <w:t xml:space="preserve"> for the nail and waxing industry</w:t>
      </w:r>
      <w:r>
        <w:t xml:space="preserve">. For over a decade, MiniLuxe has been setting industry standards for health, hygiene, and fair </w:t>
      </w:r>
      <w:proofErr w:type="spellStart"/>
      <w:r>
        <w:t>labour</w:t>
      </w:r>
      <w:proofErr w:type="spellEnd"/>
      <w:r>
        <w:t xml:space="preserve"> practices in its efforts to transform the most used, but</w:t>
      </w:r>
      <w:r w:rsidR="00C22128">
        <w:t xml:space="preserve"> highly</w:t>
      </w:r>
      <w:r>
        <w:t xml:space="preserve"> </w:t>
      </w:r>
      <w:r w:rsidR="00C22128">
        <w:t>under-</w:t>
      </w:r>
      <w:r>
        <w:t xml:space="preserve">regulated </w:t>
      </w:r>
      <w:r w:rsidR="00C22128">
        <w:t>nail care industry</w:t>
      </w:r>
      <w:r>
        <w:t xml:space="preserve">. MiniLuxe </w:t>
      </w:r>
      <w:r w:rsidR="00C22128">
        <w:t>looks to become</w:t>
      </w:r>
      <w:r>
        <w:t xml:space="preserve"> </w:t>
      </w:r>
      <w:r w:rsidR="00C22128">
        <w:t xml:space="preserve">one </w:t>
      </w:r>
      <w:r>
        <w:t xml:space="preserve">of the largest </w:t>
      </w:r>
      <w:r w:rsidR="00C22128">
        <w:t xml:space="preserve">inclusionary </w:t>
      </w:r>
      <w:r>
        <w:t>educators and employers</w:t>
      </w:r>
      <w:r w:rsidR="00C22128">
        <w:t xml:space="preserve"> of vocational women workers</w:t>
      </w:r>
      <w:r>
        <w:t xml:space="preserve"> </w:t>
      </w:r>
      <w:r w:rsidR="00C22128">
        <w:t>by empowering</w:t>
      </w:r>
      <w:r>
        <w:t xml:space="preserve"> Asian-American, Asian-Canadian, and other diverse members </w:t>
      </w:r>
      <w:r w:rsidR="00C22128">
        <w:t xml:space="preserve">on its talent empowerment platform. </w:t>
      </w:r>
    </w:p>
    <w:p w14:paraId="00000015" w14:textId="77777777" w:rsidR="009747AF" w:rsidRDefault="00597277" w:rsidP="000D7B67">
      <w:pPr>
        <w:jc w:val="both"/>
      </w:pPr>
      <w:r>
        <w:t xml:space="preserve"> </w:t>
      </w:r>
    </w:p>
    <w:p w14:paraId="00000016" w14:textId="1D53FFC3" w:rsidR="009747AF" w:rsidRDefault="00597277" w:rsidP="000D7B67">
      <w:pPr>
        <w:jc w:val="both"/>
      </w:pPr>
      <w:r>
        <w:t xml:space="preserve">Today, MiniLuxe </w:t>
      </w:r>
      <w:r w:rsidR="00C22128">
        <w:t>derives its</w:t>
      </w:r>
      <w:r>
        <w:t xml:space="preserve"> revenue streams</w:t>
      </w:r>
      <w:r w:rsidR="00C22128">
        <w:t xml:space="preserve"> </w:t>
      </w:r>
      <w:r>
        <w:t xml:space="preserve">across talent services (nail care and waxing </w:t>
      </w:r>
      <w:proofErr w:type="gramStart"/>
      <w:r>
        <w:t>services</w:t>
      </w:r>
      <w:proofErr w:type="gramEnd"/>
      <w:r>
        <w:t>) and product revenue (through its own proprietary clean nail care products). MiniLuxe is driven by a fully integrated digital-first platform that manages all client bookings, preferences and payments and provides designers with the ability to manage scheduling, clientele</w:t>
      </w:r>
      <w:r w:rsidR="0056120C">
        <w:t xml:space="preserve"> preferences</w:t>
      </w:r>
      <w:r>
        <w:t xml:space="preserve">, </w:t>
      </w:r>
      <w:r w:rsidR="0056120C">
        <w:t>performance and compensation tracking</w:t>
      </w:r>
      <w:r>
        <w:t>, and training content. Since its founding, MiniLuxe has performed over 2 million services.</w:t>
      </w:r>
    </w:p>
    <w:p w14:paraId="3A87A93E" w14:textId="01747B5B" w:rsidR="009F04FA" w:rsidRDefault="009F04FA" w:rsidP="000D7B67">
      <w:pPr>
        <w:jc w:val="both"/>
      </w:pPr>
    </w:p>
    <w:p w14:paraId="43B1B657" w14:textId="77777777" w:rsidR="009F04FA" w:rsidRDefault="008D67B0" w:rsidP="009F04FA">
      <w:pPr>
        <w:jc w:val="both"/>
      </w:pPr>
      <w:hyperlink r:id="rId9" w:history="1">
        <w:r w:rsidR="009F04FA" w:rsidRPr="00424471">
          <w:rPr>
            <w:rStyle w:val="Hyperlink"/>
          </w:rPr>
          <w:t>www.miniluxe.com</w:t>
        </w:r>
      </w:hyperlink>
      <w:r w:rsidR="009F04FA">
        <w:t xml:space="preserve"> </w:t>
      </w:r>
    </w:p>
    <w:p w14:paraId="6CACFEA3" w14:textId="77777777" w:rsidR="009F04FA" w:rsidRDefault="009F04FA" w:rsidP="000D7B67">
      <w:pPr>
        <w:jc w:val="both"/>
      </w:pPr>
    </w:p>
    <w:p w14:paraId="7871F675" w14:textId="77777777" w:rsidR="00E75305" w:rsidRDefault="00E75305" w:rsidP="000D7B67">
      <w:pPr>
        <w:rPr>
          <w:b/>
          <w:u w:val="single"/>
        </w:rPr>
      </w:pPr>
    </w:p>
    <w:p w14:paraId="5A33F9AD" w14:textId="12EF1128" w:rsidR="000D7B67" w:rsidRDefault="000D7B67" w:rsidP="000D7B67">
      <w:pPr>
        <w:rPr>
          <w:b/>
          <w:u w:val="single"/>
        </w:rPr>
      </w:pPr>
      <w:r>
        <w:rPr>
          <w:b/>
          <w:u w:val="single"/>
        </w:rPr>
        <w:t>For further information</w:t>
      </w:r>
    </w:p>
    <w:p w14:paraId="16FE4222" w14:textId="77777777" w:rsidR="000D7B67" w:rsidRDefault="000D7B67" w:rsidP="000D7B67">
      <w:r>
        <w:t xml:space="preserve"> </w:t>
      </w:r>
    </w:p>
    <w:p w14:paraId="00A00DD9" w14:textId="6D0FB818" w:rsidR="00297C06" w:rsidRDefault="00297C06" w:rsidP="000D7B67">
      <w:r>
        <w:t>Anthony Tjan</w:t>
      </w:r>
    </w:p>
    <w:p w14:paraId="1979ECA9" w14:textId="6A644600" w:rsidR="000D7B67" w:rsidRDefault="00297C06" w:rsidP="000D7B67">
      <w:r>
        <w:t>Executive Chairman, MiniLuxe Holding Corp.</w:t>
      </w:r>
    </w:p>
    <w:p w14:paraId="7578D779" w14:textId="23DE59C0" w:rsidR="000D7B67" w:rsidRDefault="008D67B0" w:rsidP="000D7B67">
      <w:hyperlink r:id="rId10" w:history="1">
        <w:r w:rsidR="00297C06" w:rsidRPr="00EA0F11">
          <w:rPr>
            <w:rStyle w:val="Hyperlink"/>
          </w:rPr>
          <w:t>atjan@miniluxe.com</w:t>
        </w:r>
      </w:hyperlink>
      <w:r w:rsidR="00297C06">
        <w:t xml:space="preserve"> </w:t>
      </w:r>
    </w:p>
    <w:p w14:paraId="5CF5BBD6" w14:textId="2425D5DF" w:rsidR="000D7B67" w:rsidRDefault="000D7B67" w:rsidP="000D7B67">
      <w:pPr>
        <w:jc w:val="both"/>
      </w:pPr>
    </w:p>
    <w:p w14:paraId="0000002C" w14:textId="5440BE2A" w:rsidR="009747AF" w:rsidRDefault="000D7B67" w:rsidP="00CB7C69">
      <w:pPr>
        <w:jc w:val="both"/>
      </w:pPr>
      <w:r w:rsidRPr="000D7B67">
        <w:rPr>
          <w:i/>
          <w:sz w:val="20"/>
          <w:szCs w:val="20"/>
        </w:rPr>
        <w:t>Neither TSX Venture Exchange nor its Regulation Services Provider (as that term is defined in the policies of the TSX Venture Exchange) accepts responsibility for the adequacy or accuracy of this release.</w:t>
      </w:r>
    </w:p>
    <w:sectPr w:rsidR="009747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BD201" w14:textId="77777777" w:rsidR="008D67B0" w:rsidRDefault="008D67B0" w:rsidP="008A4BFA">
      <w:pPr>
        <w:spacing w:line="240" w:lineRule="auto"/>
      </w:pPr>
      <w:r>
        <w:separator/>
      </w:r>
    </w:p>
  </w:endnote>
  <w:endnote w:type="continuationSeparator" w:id="0">
    <w:p w14:paraId="3F77E21C" w14:textId="77777777" w:rsidR="008D67B0" w:rsidRDefault="008D67B0" w:rsidP="008A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12CB" w14:textId="77777777" w:rsidR="006020FC" w:rsidRDefault="0060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A1F2" w14:textId="302E6326" w:rsidR="008A4BFA" w:rsidRPr="008A4BFA" w:rsidRDefault="00347EAC" w:rsidP="008A4BFA">
    <w:pPr>
      <w:pStyle w:val="Footer"/>
    </w:pPr>
    <w:r w:rsidRPr="00347EAC">
      <w:rPr>
        <w:noProof/>
        <w:vanish/>
        <w:sz w:val="16"/>
      </w:rPr>
      <w:t>{</w:t>
    </w:r>
    <w:r w:rsidRPr="00347EAC">
      <w:rPr>
        <w:noProof/>
        <w:sz w:val="16"/>
      </w:rPr>
      <w:t>12764001-00758286.DOCX:</w:t>
    </w:r>
    <w:r w:rsidRPr="00347EAC">
      <w:rPr>
        <w:noProof/>
        <w:vanish/>
        <w:sz w:val="16"/>
      </w:rPr>
      <w:t>}</w:t>
    </w:r>
    <w:r w:rsidR="008A4BF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C9CF" w14:textId="77777777" w:rsidR="006020FC" w:rsidRDefault="0060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EFA8" w14:textId="77777777" w:rsidR="008D67B0" w:rsidRDefault="008D67B0" w:rsidP="008A4BFA">
      <w:pPr>
        <w:spacing w:line="240" w:lineRule="auto"/>
        <w:rPr>
          <w:noProof/>
        </w:rPr>
      </w:pPr>
      <w:r>
        <w:rPr>
          <w:noProof/>
        </w:rPr>
        <w:separator/>
      </w:r>
    </w:p>
  </w:footnote>
  <w:footnote w:type="continuationSeparator" w:id="0">
    <w:p w14:paraId="66E850CB" w14:textId="77777777" w:rsidR="008D67B0" w:rsidRDefault="008D67B0" w:rsidP="008A4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48FB" w14:textId="77777777" w:rsidR="006020FC" w:rsidRDefault="0060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862E" w14:textId="77777777" w:rsidR="006020FC" w:rsidRDefault="00602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7E6" w14:textId="77777777" w:rsidR="006020FC" w:rsidRDefault="00602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AF"/>
    <w:rsid w:val="00015A39"/>
    <w:rsid w:val="0006388B"/>
    <w:rsid w:val="000A2D59"/>
    <w:rsid w:val="000D7B67"/>
    <w:rsid w:val="00127E67"/>
    <w:rsid w:val="00150F21"/>
    <w:rsid w:val="001E657F"/>
    <w:rsid w:val="0020200F"/>
    <w:rsid w:val="00253A5A"/>
    <w:rsid w:val="00297C06"/>
    <w:rsid w:val="002A7F8E"/>
    <w:rsid w:val="00301B08"/>
    <w:rsid w:val="00347EAC"/>
    <w:rsid w:val="003F1BD6"/>
    <w:rsid w:val="00425B3A"/>
    <w:rsid w:val="00451698"/>
    <w:rsid w:val="004611C4"/>
    <w:rsid w:val="004C3408"/>
    <w:rsid w:val="004E17AF"/>
    <w:rsid w:val="004E510D"/>
    <w:rsid w:val="0056120C"/>
    <w:rsid w:val="00567AE0"/>
    <w:rsid w:val="00597277"/>
    <w:rsid w:val="005B197F"/>
    <w:rsid w:val="005F2432"/>
    <w:rsid w:val="00601172"/>
    <w:rsid w:val="006020FC"/>
    <w:rsid w:val="00624A41"/>
    <w:rsid w:val="006C4918"/>
    <w:rsid w:val="00735600"/>
    <w:rsid w:val="00785CED"/>
    <w:rsid w:val="007F6042"/>
    <w:rsid w:val="00804BB5"/>
    <w:rsid w:val="00887C4D"/>
    <w:rsid w:val="008A3301"/>
    <w:rsid w:val="008A4BFA"/>
    <w:rsid w:val="008C67C2"/>
    <w:rsid w:val="008D67B0"/>
    <w:rsid w:val="008F4CBD"/>
    <w:rsid w:val="009747AF"/>
    <w:rsid w:val="009B06A9"/>
    <w:rsid w:val="009F04FA"/>
    <w:rsid w:val="00A11406"/>
    <w:rsid w:val="00A81680"/>
    <w:rsid w:val="00AA7348"/>
    <w:rsid w:val="00B00C66"/>
    <w:rsid w:val="00B12BE1"/>
    <w:rsid w:val="00B30C13"/>
    <w:rsid w:val="00B4354E"/>
    <w:rsid w:val="00BD1270"/>
    <w:rsid w:val="00BD38E9"/>
    <w:rsid w:val="00BD53D7"/>
    <w:rsid w:val="00C22128"/>
    <w:rsid w:val="00C45416"/>
    <w:rsid w:val="00C60251"/>
    <w:rsid w:val="00C71294"/>
    <w:rsid w:val="00CB7C69"/>
    <w:rsid w:val="00CD64EA"/>
    <w:rsid w:val="00CD7E4C"/>
    <w:rsid w:val="00D86386"/>
    <w:rsid w:val="00DA6B7A"/>
    <w:rsid w:val="00DC59A3"/>
    <w:rsid w:val="00E0319F"/>
    <w:rsid w:val="00E37594"/>
    <w:rsid w:val="00E75305"/>
    <w:rsid w:val="00F37240"/>
    <w:rsid w:val="00F96D92"/>
    <w:rsid w:val="00FC08F5"/>
    <w:rsid w:val="00FC5547"/>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F661"/>
  <w15:docId w15:val="{A13A87EF-83E6-46ED-A6D1-02849308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F4CBD"/>
    <w:pPr>
      <w:spacing w:line="240" w:lineRule="auto"/>
    </w:pPr>
  </w:style>
  <w:style w:type="character" w:styleId="Hyperlink">
    <w:name w:val="Hyperlink"/>
    <w:basedOn w:val="DefaultParagraphFont"/>
    <w:uiPriority w:val="99"/>
    <w:unhideWhenUsed/>
    <w:rsid w:val="008F4CBD"/>
    <w:rPr>
      <w:color w:val="0000FF" w:themeColor="hyperlink"/>
      <w:u w:val="single"/>
    </w:rPr>
  </w:style>
  <w:style w:type="character" w:customStyle="1" w:styleId="UnresolvedMention">
    <w:name w:val="Unresolved Mention"/>
    <w:basedOn w:val="DefaultParagraphFont"/>
    <w:uiPriority w:val="99"/>
    <w:semiHidden/>
    <w:unhideWhenUsed/>
    <w:rsid w:val="008F4CBD"/>
    <w:rPr>
      <w:color w:val="605E5C"/>
      <w:shd w:val="clear" w:color="auto" w:fill="E1DFDD"/>
    </w:rPr>
  </w:style>
  <w:style w:type="paragraph" w:styleId="Header">
    <w:name w:val="header"/>
    <w:basedOn w:val="Normal"/>
    <w:link w:val="HeaderChar"/>
    <w:uiPriority w:val="99"/>
    <w:unhideWhenUsed/>
    <w:rsid w:val="008A4BFA"/>
    <w:pPr>
      <w:tabs>
        <w:tab w:val="center" w:pos="4680"/>
        <w:tab w:val="right" w:pos="9360"/>
      </w:tabs>
      <w:spacing w:line="240" w:lineRule="auto"/>
    </w:pPr>
  </w:style>
  <w:style w:type="character" w:customStyle="1" w:styleId="HeaderChar">
    <w:name w:val="Header Char"/>
    <w:basedOn w:val="DefaultParagraphFont"/>
    <w:link w:val="Header"/>
    <w:uiPriority w:val="99"/>
    <w:rsid w:val="008A4BFA"/>
  </w:style>
  <w:style w:type="paragraph" w:styleId="Footer">
    <w:name w:val="footer"/>
    <w:basedOn w:val="Normal"/>
    <w:link w:val="FooterChar"/>
    <w:uiPriority w:val="99"/>
    <w:unhideWhenUsed/>
    <w:rsid w:val="008A4BFA"/>
    <w:pPr>
      <w:tabs>
        <w:tab w:val="center" w:pos="4680"/>
        <w:tab w:val="right" w:pos="9360"/>
      </w:tabs>
      <w:spacing w:line="240" w:lineRule="auto"/>
    </w:pPr>
  </w:style>
  <w:style w:type="character" w:customStyle="1" w:styleId="FooterChar">
    <w:name w:val="Footer Char"/>
    <w:basedOn w:val="DefaultParagraphFont"/>
    <w:link w:val="Footer"/>
    <w:uiPriority w:val="99"/>
    <w:rsid w:val="008A4BFA"/>
  </w:style>
  <w:style w:type="paragraph" w:styleId="BalloonText">
    <w:name w:val="Balloon Text"/>
    <w:basedOn w:val="Normal"/>
    <w:link w:val="BalloonTextChar"/>
    <w:uiPriority w:val="99"/>
    <w:semiHidden/>
    <w:unhideWhenUsed/>
    <w:rsid w:val="00297C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06"/>
    <w:rPr>
      <w:rFonts w:ascii="Segoe UI" w:hAnsi="Segoe UI" w:cs="Segoe UI"/>
      <w:sz w:val="18"/>
      <w:szCs w:val="18"/>
    </w:rPr>
  </w:style>
  <w:style w:type="character" w:styleId="FollowedHyperlink">
    <w:name w:val="FollowedHyperlink"/>
    <w:basedOn w:val="DefaultParagraphFont"/>
    <w:uiPriority w:val="99"/>
    <w:semiHidden/>
    <w:unhideWhenUsed/>
    <w:rsid w:val="00FF3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5967">
      <w:bodyDiv w:val="1"/>
      <w:marLeft w:val="0"/>
      <w:marRight w:val="0"/>
      <w:marTop w:val="0"/>
      <w:marBottom w:val="0"/>
      <w:divBdr>
        <w:top w:val="none" w:sz="0" w:space="0" w:color="auto"/>
        <w:left w:val="none" w:sz="0" w:space="0" w:color="auto"/>
        <w:bottom w:val="none" w:sz="0" w:space="0" w:color="auto"/>
        <w:right w:val="none" w:sz="0" w:space="0" w:color="auto"/>
      </w:divBdr>
    </w:div>
    <w:div w:id="670134251">
      <w:bodyDiv w:val="1"/>
      <w:marLeft w:val="0"/>
      <w:marRight w:val="0"/>
      <w:marTop w:val="0"/>
      <w:marBottom w:val="0"/>
      <w:divBdr>
        <w:top w:val="none" w:sz="0" w:space="0" w:color="auto"/>
        <w:left w:val="none" w:sz="0" w:space="0" w:color="auto"/>
        <w:bottom w:val="none" w:sz="0" w:space="0" w:color="auto"/>
        <w:right w:val="none" w:sz="0" w:space="0" w:color="auto"/>
      </w:divBdr>
    </w:div>
    <w:div w:id="166870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nilux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ey.tmx.com/en/quote/MNLX/news/5051851519293208/MiniLuxe_Inc_Opens_the_Mark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tjan@miniluxe.com" TargetMode="External"/><Relationship Id="rId4" Type="http://schemas.openxmlformats.org/officeDocument/2006/relationships/webSettings" Target="webSettings.xml"/><Relationship Id="rId9" Type="http://schemas.openxmlformats.org/officeDocument/2006/relationships/hyperlink" Target="http://www.minilux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4D70-EBC9-4895-89A4-CEA32067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PresentationFormat>15|.DOCX</PresentationFormat>
  <Lines>21</Lines>
  <Paragraphs>6</Paragraphs>
  <ScaleCrop>false</ScaleCrop>
  <HeadingPairs>
    <vt:vector size="2" baseType="variant">
      <vt:variant>
        <vt:lpstr>Title</vt:lpstr>
      </vt:variant>
      <vt:variant>
        <vt:i4>1</vt:i4>
      </vt:variant>
    </vt:vector>
  </HeadingPairs>
  <TitlesOfParts>
    <vt:vector size="1" baseType="lpstr">
      <vt:lpstr>ML news release - OW edits  (00756751.DOCX;1)</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news release - OW edits  (00756751.DOCX;1)</dc:title>
  <dc:subject>12764001-00758286.DOCX:</dc:subject>
  <dc:creator>Sherri</dc:creator>
  <cp:lastModifiedBy>Sher</cp:lastModifiedBy>
  <cp:revision>2</cp:revision>
  <cp:lastPrinted>2021-12-15T16:26:00Z</cp:lastPrinted>
  <dcterms:created xsi:type="dcterms:W3CDTF">2021-12-15T17:51:00Z</dcterms:created>
  <dcterms:modified xsi:type="dcterms:W3CDTF">2021-12-15T17:51:00Z</dcterms:modified>
</cp:coreProperties>
</file>