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D4849" w14:textId="77777777" w:rsidR="001E0DA5" w:rsidRDefault="00000000">
      <w:pPr>
        <w:pStyle w:val="Heading1"/>
      </w:pPr>
      <w:proofErr w:type="gramStart"/>
      <w:r>
        <w:t>Peoples</w:t>
      </w:r>
      <w:proofErr w:type="gramEnd"/>
      <w:r>
        <w:t xml:space="preserve"> Financial Corporation Announces </w:t>
      </w:r>
      <w:proofErr w:type="gramStart"/>
      <w:r>
        <w:t>A</w:t>
      </w:r>
      <w:proofErr w:type="gramEnd"/>
      <w:r>
        <w:t xml:space="preserve"> Regular Cash Dividend</w:t>
      </w:r>
    </w:p>
    <w:p w14:paraId="25FAD55D" w14:textId="77777777" w:rsidR="001E0DA5" w:rsidRDefault="001E0DA5">
      <w:pPr>
        <w:pBdr>
          <w:top w:val="nil"/>
          <w:left w:val="nil"/>
          <w:bottom w:val="nil"/>
          <w:right w:val="nil"/>
          <w:between w:val="nil"/>
        </w:pBdr>
      </w:pPr>
    </w:p>
    <w:p w14:paraId="22D81725" w14:textId="77777777" w:rsidR="001E0DA5" w:rsidRDefault="00000000">
      <w:pPr>
        <w:pBdr>
          <w:top w:val="nil"/>
          <w:left w:val="nil"/>
          <w:bottom w:val="nil"/>
          <w:right w:val="nil"/>
          <w:between w:val="nil"/>
        </w:pBdr>
      </w:pPr>
      <w:r>
        <w:rPr>
          <w:noProof/>
        </w:rPr>
        <w:drawing>
          <wp:inline distT="19050" distB="19050" distL="19050" distR="19050" wp14:anchorId="27DA5526" wp14:editId="7E015005">
            <wp:extent cx="4762500" cy="858242"/>
            <wp:effectExtent l="0" t="0" r="0" b="0"/>
            <wp:docPr id="1" name="image1.jpg" descr="image"/>
            <wp:cNvGraphicFramePr/>
            <a:graphic xmlns:a="http://schemas.openxmlformats.org/drawingml/2006/main">
              <a:graphicData uri="http://schemas.openxmlformats.org/drawingml/2006/picture">
                <pic:pic xmlns:pic="http://schemas.openxmlformats.org/drawingml/2006/picture">
                  <pic:nvPicPr>
                    <pic:cNvPr id="0" name="image1.jpg" descr="image"/>
                    <pic:cNvPicPr preferRelativeResize="0"/>
                  </pic:nvPicPr>
                  <pic:blipFill>
                    <a:blip r:embed="rId4"/>
                    <a:srcRect/>
                    <a:stretch>
                      <a:fillRect/>
                    </a:stretch>
                  </pic:blipFill>
                  <pic:spPr>
                    <a:xfrm>
                      <a:off x="0" y="0"/>
                      <a:ext cx="4762500" cy="858242"/>
                    </a:xfrm>
                    <a:prstGeom prst="rect">
                      <a:avLst/>
                    </a:prstGeom>
                    <a:ln/>
                  </pic:spPr>
                </pic:pic>
              </a:graphicData>
            </a:graphic>
          </wp:inline>
        </w:drawing>
      </w:r>
    </w:p>
    <w:p w14:paraId="56FCAF6C" w14:textId="77777777" w:rsidR="001E0DA5" w:rsidRDefault="001E0DA5">
      <w:pPr>
        <w:pBdr>
          <w:top w:val="nil"/>
          <w:left w:val="nil"/>
          <w:bottom w:val="nil"/>
          <w:right w:val="nil"/>
          <w:between w:val="nil"/>
        </w:pBdr>
      </w:pPr>
    </w:p>
    <w:p w14:paraId="21C8020F" w14:textId="77777777" w:rsidR="0041584C" w:rsidRDefault="0041584C">
      <w:pPr>
        <w:pBdr>
          <w:top w:val="nil"/>
          <w:left w:val="nil"/>
          <w:bottom w:val="nil"/>
          <w:right w:val="nil"/>
          <w:between w:val="nil"/>
        </w:pBdr>
        <w:rPr>
          <w:b/>
          <w:bCs/>
        </w:rPr>
      </w:pPr>
    </w:p>
    <w:p w14:paraId="36E298ED" w14:textId="73265CEE" w:rsidR="001E0DA5" w:rsidRDefault="00000000">
      <w:pPr>
        <w:pBdr>
          <w:top w:val="nil"/>
          <w:left w:val="nil"/>
          <w:bottom w:val="nil"/>
          <w:right w:val="nil"/>
          <w:between w:val="nil"/>
        </w:pBdr>
        <w:rPr>
          <w:b/>
          <w:bCs/>
        </w:rPr>
      </w:pPr>
      <w:r>
        <w:rPr>
          <w:b/>
          <w:bCs/>
        </w:rPr>
        <w:t xml:space="preserve">Biloxi, Mississippi United States, November 25th, 2025, </w:t>
      </w:r>
      <w:proofErr w:type="spellStart"/>
      <w:r>
        <w:rPr>
          <w:b/>
          <w:bCs/>
        </w:rPr>
        <w:t>NewsDirect</w:t>
      </w:r>
      <w:proofErr w:type="spellEnd"/>
    </w:p>
    <w:p w14:paraId="097BF303" w14:textId="77777777" w:rsidR="0041584C" w:rsidRDefault="0041584C">
      <w:pPr>
        <w:pBdr>
          <w:top w:val="nil"/>
          <w:left w:val="nil"/>
          <w:bottom w:val="nil"/>
          <w:right w:val="nil"/>
          <w:between w:val="nil"/>
        </w:pBdr>
        <w:rPr>
          <w:b/>
          <w:bCs/>
        </w:rPr>
      </w:pPr>
    </w:p>
    <w:p w14:paraId="2E119C02" w14:textId="77777777" w:rsidR="001E0DA5" w:rsidRDefault="001E0DA5">
      <w:pPr>
        <w:pBdr>
          <w:top w:val="nil"/>
          <w:left w:val="nil"/>
          <w:bottom w:val="nil"/>
          <w:right w:val="nil"/>
          <w:between w:val="nil"/>
        </w:pBdr>
        <w:rPr>
          <w:b/>
          <w:bCs/>
        </w:rPr>
      </w:pPr>
    </w:p>
    <w:p w14:paraId="749ABF62" w14:textId="77777777" w:rsidR="001E0DA5" w:rsidRDefault="00000000">
      <w:pPr>
        <w:pBdr>
          <w:top w:val="nil"/>
          <w:left w:val="nil"/>
          <w:bottom w:val="nil"/>
          <w:right w:val="nil"/>
          <w:between w:val="nil"/>
        </w:pBdr>
      </w:pPr>
      <w:r>
        <w:t xml:space="preserve">Peoples Financial Corporation (the “Company”)(OTCQX Best Market: PFBX), parent of </w:t>
      </w:r>
      <w:hyperlink r:id="rId5">
        <w:r>
          <w:rPr>
            <w:color w:val="0000EE"/>
            <w:u w:val="single"/>
          </w:rPr>
          <w:t>The Peoples Bank</w:t>
        </w:r>
      </w:hyperlink>
      <w:r>
        <w:t xml:space="preserve"> (the “Bank”), announced the declaration of a regular semi-annual cash dividend of $0.18 per common share payable on December 12, 2025, to shareholders of record as of December 08, 2025.</w:t>
      </w:r>
    </w:p>
    <w:p w14:paraId="27AC9820" w14:textId="77777777" w:rsidR="0041584C" w:rsidRDefault="0041584C">
      <w:pPr>
        <w:pBdr>
          <w:top w:val="nil"/>
          <w:left w:val="nil"/>
          <w:bottom w:val="nil"/>
          <w:right w:val="nil"/>
          <w:between w:val="nil"/>
        </w:pBdr>
      </w:pPr>
    </w:p>
    <w:p w14:paraId="6FACF774" w14:textId="77777777" w:rsidR="001E0DA5" w:rsidRDefault="00000000">
      <w:pPr>
        <w:pBdr>
          <w:top w:val="nil"/>
          <w:left w:val="nil"/>
          <w:bottom w:val="nil"/>
          <w:right w:val="nil"/>
          <w:between w:val="nil"/>
        </w:pBdr>
      </w:pPr>
      <w:r>
        <w:t>“We are pleased to announce our semi-annual dividend to our shareholders," said Chevis C. Swetman, Chairman and CEO of the holding company and the bank. "We remain dedicated to returning earnings to our shareholders,” he added.</w:t>
      </w:r>
    </w:p>
    <w:p w14:paraId="198A99D9" w14:textId="77777777" w:rsidR="0041584C" w:rsidRDefault="0041584C">
      <w:pPr>
        <w:pBdr>
          <w:top w:val="nil"/>
          <w:left w:val="nil"/>
          <w:bottom w:val="nil"/>
          <w:right w:val="nil"/>
          <w:between w:val="nil"/>
        </w:pBdr>
      </w:pPr>
    </w:p>
    <w:p w14:paraId="599E09DC" w14:textId="77777777" w:rsidR="001E0DA5" w:rsidRDefault="00000000">
      <w:pPr>
        <w:pBdr>
          <w:top w:val="nil"/>
          <w:left w:val="nil"/>
          <w:bottom w:val="nil"/>
          <w:right w:val="nil"/>
          <w:between w:val="nil"/>
        </w:pBdr>
        <w:rPr>
          <w:b/>
          <w:bCs/>
        </w:rPr>
      </w:pPr>
      <w:r>
        <w:rPr>
          <w:b/>
          <w:bCs/>
        </w:rPr>
        <w:t>About the Company</w:t>
      </w:r>
    </w:p>
    <w:p w14:paraId="38EDB4C1" w14:textId="77777777" w:rsidR="0041584C" w:rsidRDefault="0041584C">
      <w:pPr>
        <w:pBdr>
          <w:top w:val="nil"/>
          <w:left w:val="nil"/>
          <w:bottom w:val="nil"/>
          <w:right w:val="nil"/>
          <w:between w:val="nil"/>
        </w:pBdr>
        <w:rPr>
          <w:b/>
          <w:bCs/>
        </w:rPr>
      </w:pPr>
    </w:p>
    <w:p w14:paraId="1EED2C58" w14:textId="77777777" w:rsidR="001E0DA5" w:rsidRDefault="00000000">
      <w:pPr>
        <w:pBdr>
          <w:top w:val="nil"/>
          <w:left w:val="nil"/>
          <w:bottom w:val="nil"/>
          <w:right w:val="nil"/>
          <w:between w:val="nil"/>
        </w:pBdr>
      </w:pPr>
      <w:r>
        <w:t>Founded in 1896, with $758 million in total assets as of September 30, 2025, The Peoples Bank operates 18 bank facilities along the Mississippi Gulf Coast in Hancock, Harrison, Jackson, and Stone counties. In addition to offering a comprehensive range of retail and commercial banking services, the Bank also operates a trust and investment services department that has provided customers with financial, estate, and retirement planning services since 1936.</w:t>
      </w:r>
    </w:p>
    <w:p w14:paraId="59DC1A6B" w14:textId="77777777" w:rsidR="0041584C" w:rsidRDefault="0041584C">
      <w:pPr>
        <w:pBdr>
          <w:top w:val="nil"/>
          <w:left w:val="nil"/>
          <w:bottom w:val="nil"/>
          <w:right w:val="nil"/>
          <w:between w:val="nil"/>
        </w:pBdr>
      </w:pPr>
    </w:p>
    <w:p w14:paraId="0BCAE345" w14:textId="77777777" w:rsidR="001E0DA5" w:rsidRDefault="00000000">
      <w:pPr>
        <w:pBdr>
          <w:top w:val="nil"/>
          <w:left w:val="nil"/>
          <w:bottom w:val="nil"/>
          <w:right w:val="nil"/>
          <w:between w:val="nil"/>
        </w:pBdr>
      </w:pPr>
      <w:r>
        <w:t xml:space="preserve">Peoples Financial Corporation’s common stock is listed on the OTCQX Best Market under the symbol PFBX. Additional information is available on the Internet at the Company’s website, </w:t>
      </w:r>
      <w:hyperlink r:id="rId6">
        <w:r>
          <w:rPr>
            <w:color w:val="0000EE"/>
            <w:u w:val="single"/>
          </w:rPr>
          <w:t>www.thepeoples.com,</w:t>
        </w:r>
      </w:hyperlink>
      <w:r>
        <w:t xml:space="preserve"> and at the website of the Securities and Exchange Commission (“SEC”), </w:t>
      </w:r>
      <w:hyperlink r:id="rId7">
        <w:r>
          <w:rPr>
            <w:color w:val="0000EE"/>
            <w:u w:val="single"/>
          </w:rPr>
          <w:t>www.sec.gov.</w:t>
        </w:r>
      </w:hyperlink>
    </w:p>
    <w:p w14:paraId="3145DB04" w14:textId="77777777" w:rsidR="0041584C" w:rsidRDefault="0041584C">
      <w:pPr>
        <w:pBdr>
          <w:top w:val="nil"/>
          <w:left w:val="nil"/>
          <w:bottom w:val="nil"/>
          <w:right w:val="nil"/>
          <w:between w:val="nil"/>
        </w:pBdr>
        <w:rPr>
          <w:color w:val="0000EE"/>
          <w:u w:val="single"/>
        </w:rPr>
      </w:pPr>
    </w:p>
    <w:p w14:paraId="017D837F" w14:textId="77777777" w:rsidR="001E0DA5" w:rsidRDefault="00000000">
      <w:pPr>
        <w:pBdr>
          <w:top w:val="nil"/>
          <w:left w:val="nil"/>
          <w:bottom w:val="nil"/>
          <w:right w:val="nil"/>
          <w:between w:val="nil"/>
        </w:pBdr>
      </w:pPr>
      <w:r>
        <w:t xml:space="preserve">This news release reflects industry conditions, Company performance and financial results and contains “forward-looking statements,’ which may include forecasts of our financial results and condition, expectations for our operations and businesses, and our assumptions for those forecasts and expectations. Do not place undue reliance on forward-looking statements. These forward-looking statements are subject to </w:t>
      </w:r>
      <w:proofErr w:type="gramStart"/>
      <w:r>
        <w:t>a number of</w:t>
      </w:r>
      <w:proofErr w:type="gramEnd"/>
      <w:r>
        <w:t xml:space="preserve"> risk factors and uncertainties which could cause the Company’s actual results and experience to differ materially from the anticipated results and </w:t>
      </w:r>
      <w:proofErr w:type="gramStart"/>
      <w:r>
        <w:t>expectation</w:t>
      </w:r>
      <w:proofErr w:type="gramEnd"/>
      <w:r>
        <w:t xml:space="preserve"> expressed in such forward-looking statements.</w:t>
      </w:r>
    </w:p>
    <w:p w14:paraId="11CEF460" w14:textId="77777777" w:rsidR="0041584C" w:rsidRDefault="0041584C">
      <w:pPr>
        <w:pBdr>
          <w:top w:val="nil"/>
          <w:left w:val="nil"/>
          <w:bottom w:val="nil"/>
          <w:right w:val="nil"/>
          <w:between w:val="nil"/>
        </w:pBdr>
      </w:pPr>
    </w:p>
    <w:p w14:paraId="472A3FCE" w14:textId="77777777" w:rsidR="001E0DA5" w:rsidRDefault="00000000">
      <w:pPr>
        <w:pBdr>
          <w:top w:val="nil"/>
          <w:left w:val="nil"/>
          <w:bottom w:val="nil"/>
          <w:right w:val="nil"/>
          <w:between w:val="nil"/>
        </w:pBdr>
      </w:pPr>
      <w:r>
        <w:t xml:space="preserve">Factors that could cause our actual results to differ materially from our forward-looking statements are described under “Management’s Discussion and Analysis of Financial Condition and Results of Operations” and “Regulation and Supervision” in the Company’s Annual Report </w:t>
      </w:r>
      <w:r>
        <w:lastRenderedPageBreak/>
        <w:t xml:space="preserve">on Form 10-K for the fiscal year ended December 31, 2024, and in other documents subsequently filed by the Company with the Securities and Exchange Commission, available at the SEC’s website and the Company’s website, each of which are referenced above. To the extent that statements in this news release relate to </w:t>
      </w:r>
      <w:proofErr w:type="gramStart"/>
      <w:r>
        <w:t>future plans</w:t>
      </w:r>
      <w:proofErr w:type="gramEnd"/>
      <w:r>
        <w:t>, objectives, financial results or performance by the Company, these statements are deemed to be forward-looking statements within the meaning of the Private Securities Litigation Reform Act of 1995. Such statements are generally identified by use of words such as “may,” “believe,” “expect,” “anticipate,” “intend,” “will,” “should,” “plan,” “estimate,” “predict,” “continue” and “potential” or the negative of these terms or other comparable terminology.</w:t>
      </w:r>
    </w:p>
    <w:p w14:paraId="4B4F9AEF" w14:textId="77777777" w:rsidR="0041584C" w:rsidRDefault="0041584C">
      <w:pPr>
        <w:pBdr>
          <w:top w:val="nil"/>
          <w:left w:val="nil"/>
          <w:bottom w:val="nil"/>
          <w:right w:val="nil"/>
          <w:between w:val="nil"/>
        </w:pBdr>
      </w:pPr>
    </w:p>
    <w:p w14:paraId="3ADEA32B" w14:textId="77777777" w:rsidR="001E0DA5" w:rsidRDefault="00000000">
      <w:pPr>
        <w:pBdr>
          <w:top w:val="nil"/>
          <w:left w:val="nil"/>
          <w:bottom w:val="nil"/>
          <w:right w:val="nil"/>
          <w:between w:val="nil"/>
        </w:pBdr>
      </w:pPr>
      <w:r>
        <w:t xml:space="preserve">Forward-looking statements represent management’s beliefs, based upon information available at the time the statements are made, </w:t>
      </w:r>
      <w:proofErr w:type="gramStart"/>
      <w:r>
        <w:t>with regard to</w:t>
      </w:r>
      <w:proofErr w:type="gramEnd"/>
      <w:r>
        <w:t xml:space="preserve"> the matters addressed; they are not guarantees of future performance. Forward-looking statements are subject to numerous assumptions, risks and uncertainties that change over time and could cause actual results or financial condition to differ materially from those expressed in or implied by such statements. All information is as of the date of this news release. Except to the extent required by applicable law or regulation, the Company undertakes no obligation to revise or update publicly any forward-looking statement for any reason.</w:t>
      </w:r>
    </w:p>
    <w:p w14:paraId="03FF57E1" w14:textId="77777777" w:rsidR="0041584C" w:rsidRDefault="0041584C">
      <w:pPr>
        <w:pBdr>
          <w:top w:val="nil"/>
          <w:left w:val="nil"/>
          <w:bottom w:val="nil"/>
          <w:right w:val="nil"/>
          <w:between w:val="nil"/>
        </w:pBdr>
      </w:pPr>
    </w:p>
    <w:p w14:paraId="0A268C0E" w14:textId="77777777" w:rsidR="001E0DA5" w:rsidRDefault="00000000">
      <w:pPr>
        <w:pBdr>
          <w:top w:val="nil"/>
          <w:left w:val="nil"/>
          <w:bottom w:val="nil"/>
          <w:right w:val="nil"/>
          <w:between w:val="nil"/>
        </w:pBdr>
      </w:pPr>
      <w:r>
        <w:t>For more information, users can contact:</w:t>
      </w:r>
    </w:p>
    <w:p w14:paraId="03D7A9FD" w14:textId="77777777" w:rsidR="001E0DA5" w:rsidRDefault="00000000">
      <w:pPr>
        <w:pBdr>
          <w:top w:val="nil"/>
          <w:left w:val="nil"/>
          <w:bottom w:val="nil"/>
          <w:right w:val="nil"/>
          <w:between w:val="nil"/>
        </w:pBdr>
      </w:pPr>
      <w:r>
        <w:t>Chevis C. Swetman, President and CEO 228-435-8205</w:t>
      </w:r>
    </w:p>
    <w:p w14:paraId="03A10B88" w14:textId="77777777" w:rsidR="001E0DA5" w:rsidRDefault="00000000">
      <w:pPr>
        <w:pBdr>
          <w:top w:val="nil"/>
          <w:left w:val="nil"/>
          <w:bottom w:val="nil"/>
          <w:right w:val="nil"/>
          <w:between w:val="nil"/>
        </w:pBdr>
        <w:rPr>
          <w:color w:val="0000EE"/>
          <w:u w:val="single"/>
        </w:rPr>
      </w:pPr>
      <w:hyperlink r:id="rId8">
        <w:r>
          <w:rPr>
            <w:color w:val="0000EE"/>
            <w:u w:val="single"/>
          </w:rPr>
          <w:t>cswetman@thepeoples.com</w:t>
        </w:r>
      </w:hyperlink>
    </w:p>
    <w:p w14:paraId="544411DC" w14:textId="77777777" w:rsidR="001E0DA5" w:rsidRDefault="001E0DA5">
      <w:pPr>
        <w:pBdr>
          <w:top w:val="nil"/>
          <w:left w:val="nil"/>
          <w:bottom w:val="nil"/>
          <w:right w:val="nil"/>
          <w:between w:val="nil"/>
        </w:pBdr>
        <w:rPr>
          <w:color w:val="0000EE"/>
          <w:u w:val="single"/>
        </w:rPr>
      </w:pPr>
    </w:p>
    <w:p w14:paraId="526DFA44" w14:textId="77777777" w:rsidR="001E0DA5" w:rsidRDefault="001E0DA5">
      <w:pPr>
        <w:pBdr>
          <w:top w:val="nil"/>
          <w:left w:val="nil"/>
          <w:bottom w:val="nil"/>
          <w:right w:val="nil"/>
          <w:between w:val="nil"/>
        </w:pBdr>
        <w:spacing w:after="255"/>
        <w:rPr>
          <w:color w:val="0000EE"/>
          <w:u w:val="single"/>
        </w:rPr>
      </w:pPr>
    </w:p>
    <w:p w14:paraId="6026D845" w14:textId="77777777" w:rsidR="001E0DA5" w:rsidRDefault="00000000">
      <w:pPr>
        <w:pStyle w:val="Heading5"/>
      </w:pPr>
      <w:r>
        <w:t>Contact</w:t>
      </w:r>
    </w:p>
    <w:p w14:paraId="4D43B98A" w14:textId="77777777" w:rsidR="001E0DA5" w:rsidRDefault="00000000">
      <w:pPr>
        <w:pBdr>
          <w:top w:val="nil"/>
          <w:left w:val="nil"/>
          <w:bottom w:val="nil"/>
          <w:right w:val="nil"/>
          <w:between w:val="nil"/>
        </w:pBdr>
        <w:rPr>
          <w:b/>
          <w:bCs/>
        </w:rPr>
      </w:pPr>
      <w:r>
        <w:rPr>
          <w:b/>
          <w:bCs/>
        </w:rPr>
        <w:t>President and CEO</w:t>
      </w:r>
    </w:p>
    <w:p w14:paraId="3A31C13E" w14:textId="77777777" w:rsidR="001E0DA5" w:rsidRDefault="00000000">
      <w:pPr>
        <w:pBdr>
          <w:top w:val="nil"/>
          <w:left w:val="nil"/>
          <w:bottom w:val="nil"/>
          <w:right w:val="nil"/>
          <w:between w:val="nil"/>
        </w:pBdr>
        <w:rPr>
          <w:b/>
          <w:bCs/>
        </w:rPr>
      </w:pPr>
      <w:r>
        <w:rPr>
          <w:b/>
          <w:bCs/>
        </w:rPr>
        <w:t>Chevis C. Swetman</w:t>
      </w:r>
    </w:p>
    <w:p w14:paraId="21CF46C2" w14:textId="77777777" w:rsidR="001E0DA5" w:rsidRDefault="00000000">
      <w:pPr>
        <w:pBdr>
          <w:top w:val="nil"/>
          <w:left w:val="nil"/>
          <w:bottom w:val="nil"/>
          <w:right w:val="nil"/>
          <w:between w:val="nil"/>
        </w:pBdr>
        <w:rPr>
          <w:b/>
          <w:bCs/>
        </w:rPr>
      </w:pPr>
      <w:r>
        <w:rPr>
          <w:b/>
          <w:bCs/>
        </w:rPr>
        <w:t>Cswetman@thepeoples.com</w:t>
      </w:r>
    </w:p>
    <w:sectPr w:rsidR="001E0DA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Italic r:id="rId1" w:fontKey="{91FE1B09-651E-4B32-9A35-1E1FE5CB0066}"/>
  </w:font>
  <w:font w:name="Calibri">
    <w:panose1 w:val="020F0502020204030204"/>
    <w:charset w:val="EE"/>
    <w:family w:val="swiss"/>
    <w:pitch w:val="variable"/>
    <w:sig w:usb0="E4002EFF" w:usb1="C200247B" w:usb2="00000009" w:usb3="00000000" w:csb0="000001FF" w:csb1="00000000"/>
    <w:embedRegular r:id="rId2" w:fontKey="{63482C83-5FD7-40AD-AFC6-4FAC88397454}"/>
  </w:font>
  <w:font w:name="Cambria">
    <w:panose1 w:val="02040503050406030204"/>
    <w:charset w:val="EE"/>
    <w:family w:val="roman"/>
    <w:pitch w:val="variable"/>
    <w:sig w:usb0="E00006FF" w:usb1="420024FF" w:usb2="02000000" w:usb3="00000000" w:csb0="0000019F" w:csb1="00000000"/>
    <w:embedRegular r:id="rId3" w:fontKey="{DCD903E2-3DBC-42C0-BC5D-8DE4D983812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DA5"/>
    <w:rsid w:val="001E0DA5"/>
    <w:rsid w:val="0041584C"/>
    <w:rsid w:val="00D62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530574"/>
  <w15:docId w15:val="{966AAED8-BEFB-4026-8A91-AEA6890D3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swetman@thepeoples.com" TargetMode="External"/><Relationship Id="rId3" Type="http://schemas.openxmlformats.org/officeDocument/2006/relationships/webSettings" Target="webSettings.xml"/><Relationship Id="rId7" Type="http://schemas.openxmlformats.org/officeDocument/2006/relationships/hyperlink" Target="http://www.sec.go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hepeoples.com/" TargetMode="External"/><Relationship Id="rId5" Type="http://schemas.openxmlformats.org/officeDocument/2006/relationships/hyperlink" Target="https://www.thepeoples.com/"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593</Words>
  <Characters>3562</Characters>
  <Application>Microsoft Office Word</Application>
  <DocSecurity>0</DocSecurity>
  <Lines>68</Lines>
  <Paragraphs>20</Paragraphs>
  <ScaleCrop>false</ScaleCrop>
  <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Stojadinovic</cp:lastModifiedBy>
  <cp:revision>2</cp:revision>
  <dcterms:created xsi:type="dcterms:W3CDTF">2025-11-25T15:22:00Z</dcterms:created>
  <dcterms:modified xsi:type="dcterms:W3CDTF">2025-11-25T15:23:00Z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abe9187e-9fa8-481c-bf62-e29450f994f9</vt:lpwstr>
  </property>
</Properties>
</file>