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CF8EF" w14:textId="77777777" w:rsidR="00F50248" w:rsidRDefault="00F50248" w:rsidP="4C46D4DA">
      <w:pPr>
        <w:rPr>
          <w:rFonts w:ascii="Figtree" w:eastAsia="Figtree" w:hAnsi="Figtree" w:cs="Figtree"/>
          <w:b/>
          <w:bCs/>
        </w:rPr>
      </w:pPr>
    </w:p>
    <w:p w14:paraId="4320BC8E" w14:textId="6AADA983" w:rsidR="00F50248" w:rsidRPr="00F50248" w:rsidRDefault="6CDC57C8" w:rsidP="00302D6B">
      <w:pPr>
        <w:spacing w:after="0" w:line="240" w:lineRule="auto"/>
        <w:jc w:val="center"/>
        <w:rPr>
          <w:rFonts w:ascii="Figtree" w:eastAsia="Figtree" w:hAnsi="Figtree" w:cs="Figtree"/>
          <w:b/>
          <w:bCs/>
        </w:rPr>
      </w:pPr>
      <w:r w:rsidRPr="4C46D4DA">
        <w:rPr>
          <w:rFonts w:ascii="Figtree" w:eastAsia="Figtree" w:hAnsi="Figtree" w:cs="Figtree"/>
          <w:b/>
          <w:bCs/>
        </w:rPr>
        <w:t>Global Electronics Association Launches Global Electronics Policy Council to Unite Industry on Trade, Investment, and Supply Chain Policy</w:t>
      </w:r>
    </w:p>
    <w:p w14:paraId="59EE7212" w14:textId="2E944A42" w:rsidR="00F50248" w:rsidRPr="00F50248" w:rsidRDefault="6C31EFA5" w:rsidP="00302D6B">
      <w:pPr>
        <w:spacing w:after="0" w:line="240" w:lineRule="auto"/>
        <w:jc w:val="center"/>
        <w:rPr>
          <w:rFonts w:ascii="Figtree" w:eastAsia="Figtree" w:hAnsi="Figtree" w:cs="Figtree"/>
          <w:i/>
          <w:iCs/>
        </w:rPr>
      </w:pPr>
      <w:r w:rsidRPr="4C46D4DA">
        <w:rPr>
          <w:rFonts w:ascii="Figtree" w:eastAsia="Figtree" w:hAnsi="Figtree" w:cs="Figtree"/>
          <w:i/>
          <w:iCs/>
        </w:rPr>
        <w:t>New Council Formal</w:t>
      </w:r>
      <w:r w:rsidR="69C2B4BB" w:rsidRPr="4C46D4DA">
        <w:rPr>
          <w:rFonts w:ascii="Figtree" w:eastAsia="Figtree" w:hAnsi="Figtree" w:cs="Figtree"/>
          <w:i/>
          <w:iCs/>
        </w:rPr>
        <w:t>izes</w:t>
      </w:r>
      <w:r w:rsidRPr="4C46D4DA">
        <w:rPr>
          <w:rFonts w:ascii="Figtree" w:eastAsia="Figtree" w:hAnsi="Figtree" w:cs="Figtree"/>
          <w:i/>
          <w:iCs/>
        </w:rPr>
        <w:t xml:space="preserve"> Coordinated </w:t>
      </w:r>
      <w:r w:rsidR="77CA059B" w:rsidRPr="4C46D4DA">
        <w:rPr>
          <w:rFonts w:ascii="Figtree" w:eastAsia="Figtree" w:hAnsi="Figtree" w:cs="Figtree"/>
          <w:i/>
          <w:iCs/>
        </w:rPr>
        <w:t xml:space="preserve">Global </w:t>
      </w:r>
      <w:r w:rsidRPr="4C46D4DA">
        <w:rPr>
          <w:rFonts w:ascii="Figtree" w:eastAsia="Figtree" w:hAnsi="Figtree" w:cs="Figtree"/>
          <w:i/>
          <w:iCs/>
        </w:rPr>
        <w:t>Advocacy Structure to a $6 Trillion Industry at a Critical Moment for Electronics</w:t>
      </w:r>
    </w:p>
    <w:p w14:paraId="4FE21D96" w14:textId="77777777" w:rsidR="00302D6B" w:rsidRDefault="00302D6B" w:rsidP="4C46D4DA">
      <w:pPr>
        <w:rPr>
          <w:rFonts w:ascii="Figtree" w:eastAsia="Figtree" w:hAnsi="Figtree" w:cs="Figtree"/>
          <w:sz w:val="22"/>
          <w:szCs w:val="22"/>
        </w:rPr>
      </w:pPr>
    </w:p>
    <w:p w14:paraId="2B9AF841" w14:textId="11AEBB43" w:rsidR="00F50248" w:rsidRPr="00F50248" w:rsidRDefault="6B787A6D" w:rsidP="4C46D4DA">
      <w:pPr>
        <w:rPr>
          <w:rFonts w:ascii="Figtree" w:eastAsia="Figtree" w:hAnsi="Figtree" w:cs="Figtree"/>
          <w:sz w:val="22"/>
          <w:szCs w:val="22"/>
        </w:rPr>
      </w:pPr>
      <w:r w:rsidRPr="00302D6B">
        <w:rPr>
          <w:rFonts w:ascii="Figtree" w:eastAsia="Figtree" w:hAnsi="Figtree" w:cs="Figtree"/>
          <w:b/>
          <w:bCs/>
          <w:sz w:val="22"/>
          <w:szCs w:val="22"/>
        </w:rPr>
        <w:t xml:space="preserve">BANNOCKBURN, Ill., </w:t>
      </w:r>
      <w:r w:rsidR="560386FB" w:rsidRPr="00302D6B">
        <w:rPr>
          <w:rFonts w:ascii="Figtree" w:eastAsia="Figtree" w:hAnsi="Figtree" w:cs="Figtree"/>
          <w:b/>
          <w:bCs/>
          <w:sz w:val="22"/>
          <w:szCs w:val="22"/>
        </w:rPr>
        <w:t xml:space="preserve">May </w:t>
      </w:r>
      <w:r w:rsidR="00302D6B">
        <w:rPr>
          <w:rFonts w:ascii="Figtree" w:eastAsia="Figtree" w:hAnsi="Figtree" w:cs="Figtree"/>
          <w:b/>
          <w:bCs/>
          <w:sz w:val="22"/>
          <w:szCs w:val="22"/>
        </w:rPr>
        <w:t>20</w:t>
      </w:r>
      <w:r w:rsidR="560386FB" w:rsidRPr="00302D6B">
        <w:rPr>
          <w:rFonts w:ascii="Figtree" w:eastAsia="Figtree" w:hAnsi="Figtree" w:cs="Figtree"/>
          <w:b/>
          <w:bCs/>
          <w:sz w:val="22"/>
          <w:szCs w:val="22"/>
        </w:rPr>
        <w:t>, 2026</w:t>
      </w:r>
      <w:r w:rsidRPr="4C46D4DA">
        <w:rPr>
          <w:rFonts w:ascii="Figtree" w:eastAsia="Figtree" w:hAnsi="Figtree" w:cs="Figtree"/>
          <w:sz w:val="22"/>
          <w:szCs w:val="22"/>
        </w:rPr>
        <w:t xml:space="preserve"> - The Global Electronics Association today announced the formation of the Global Electronics Policy Council (GEPC), a new body uniting leading electronics companies</w:t>
      </w:r>
      <w:r w:rsidR="4B479824" w:rsidRPr="4C46D4DA">
        <w:rPr>
          <w:rFonts w:ascii="Figtree" w:eastAsia="Figtree" w:hAnsi="Figtree" w:cs="Figtree"/>
          <w:sz w:val="22"/>
          <w:szCs w:val="22"/>
        </w:rPr>
        <w:t xml:space="preserve"> from around the world</w:t>
      </w:r>
      <w:r w:rsidRPr="4C46D4DA">
        <w:rPr>
          <w:rFonts w:ascii="Figtree" w:eastAsia="Figtree" w:hAnsi="Figtree" w:cs="Figtree"/>
          <w:sz w:val="22"/>
          <w:szCs w:val="22"/>
        </w:rPr>
        <w:t xml:space="preserve"> to advance a coordinated policy agenda across every major region of the electronics supply chain</w:t>
      </w:r>
      <w:r w:rsidR="68B74126" w:rsidRPr="4C46D4DA">
        <w:rPr>
          <w:rFonts w:ascii="Figtree" w:eastAsia="Figtree" w:hAnsi="Figtree" w:cs="Figtree"/>
          <w:sz w:val="22"/>
          <w:szCs w:val="22"/>
        </w:rPr>
        <w:t>. The GEPC builds</w:t>
      </w:r>
      <w:r w:rsidR="2044298D" w:rsidRPr="4C46D4DA">
        <w:rPr>
          <w:rFonts w:ascii="Figtree" w:eastAsia="Figtree" w:hAnsi="Figtree" w:cs="Figtree"/>
          <w:sz w:val="22"/>
          <w:szCs w:val="22"/>
        </w:rPr>
        <w:t xml:space="preserve"> on the Association's longstanding </w:t>
      </w:r>
      <w:r w:rsidR="6FB77686" w:rsidRPr="4C46D4DA">
        <w:rPr>
          <w:rFonts w:ascii="Figtree" w:eastAsia="Figtree" w:hAnsi="Figtree" w:cs="Figtree"/>
          <w:sz w:val="22"/>
          <w:szCs w:val="22"/>
        </w:rPr>
        <w:t xml:space="preserve">electronics industry </w:t>
      </w:r>
      <w:r w:rsidR="2044298D" w:rsidRPr="4C46D4DA">
        <w:rPr>
          <w:rFonts w:ascii="Figtree" w:eastAsia="Figtree" w:hAnsi="Figtree" w:cs="Figtree"/>
          <w:sz w:val="22"/>
          <w:szCs w:val="22"/>
        </w:rPr>
        <w:t>advocacy work</w:t>
      </w:r>
      <w:r w:rsidR="254DCAB6" w:rsidRPr="4C46D4DA">
        <w:rPr>
          <w:rFonts w:ascii="Figtree" w:eastAsia="Figtree" w:hAnsi="Figtree" w:cs="Figtree"/>
          <w:sz w:val="22"/>
          <w:szCs w:val="22"/>
        </w:rPr>
        <w:t xml:space="preserve"> over its nearly 70-year history</w:t>
      </w:r>
      <w:r w:rsidRPr="4C46D4DA">
        <w:rPr>
          <w:rFonts w:ascii="Figtree" w:eastAsia="Figtree" w:hAnsi="Figtree" w:cs="Figtree"/>
          <w:sz w:val="22"/>
          <w:szCs w:val="22"/>
        </w:rPr>
        <w:t xml:space="preserve">. For the first time, companies spanning the full electronics value chain </w:t>
      </w:r>
      <w:r w:rsidR="4B479824" w:rsidRPr="4C46D4DA">
        <w:rPr>
          <w:rFonts w:ascii="Figtree" w:eastAsia="Figtree" w:hAnsi="Figtree" w:cs="Figtree"/>
          <w:sz w:val="22"/>
          <w:szCs w:val="22"/>
        </w:rPr>
        <w:t>-</w:t>
      </w:r>
      <w:r w:rsidRPr="4C46D4DA">
        <w:rPr>
          <w:rFonts w:ascii="Figtree" w:eastAsia="Figtree" w:hAnsi="Figtree" w:cs="Figtree"/>
          <w:sz w:val="22"/>
          <w:szCs w:val="22"/>
        </w:rPr>
        <w:t xml:space="preserve"> from PCB manufacturers and EMS providers to OEMs, semiconductor suppliers, </w:t>
      </w:r>
      <w:r w:rsidR="186A17F7" w:rsidRPr="4C46D4DA">
        <w:rPr>
          <w:rFonts w:ascii="Figtree" w:eastAsia="Figtree" w:hAnsi="Figtree" w:cs="Figtree"/>
          <w:sz w:val="22"/>
          <w:szCs w:val="22"/>
        </w:rPr>
        <w:t xml:space="preserve">wire harness, </w:t>
      </w:r>
      <w:r w:rsidRPr="4C46D4DA">
        <w:rPr>
          <w:rFonts w:ascii="Figtree" w:eastAsia="Figtree" w:hAnsi="Figtree" w:cs="Figtree"/>
          <w:sz w:val="22"/>
          <w:szCs w:val="22"/>
        </w:rPr>
        <w:t xml:space="preserve">and advanced packaging firms </w:t>
      </w:r>
      <w:r w:rsidR="4B479824" w:rsidRPr="4C46D4DA">
        <w:rPr>
          <w:rFonts w:ascii="Figtree" w:eastAsia="Figtree" w:hAnsi="Figtree" w:cs="Figtree"/>
          <w:sz w:val="22"/>
          <w:szCs w:val="22"/>
        </w:rPr>
        <w:t>-</w:t>
      </w:r>
      <w:r w:rsidRPr="4C46D4DA">
        <w:rPr>
          <w:rFonts w:ascii="Figtree" w:eastAsia="Figtree" w:hAnsi="Figtree" w:cs="Figtree"/>
          <w:sz w:val="22"/>
          <w:szCs w:val="22"/>
        </w:rPr>
        <w:t xml:space="preserve"> will have a single, structured forum to translate industry consensus into coordinated government engagement.</w:t>
      </w:r>
    </w:p>
    <w:p w14:paraId="733295AD" w14:textId="0186453A" w:rsidR="00F50248" w:rsidRPr="00F50248" w:rsidRDefault="3FA4EE64" w:rsidP="4C46D4DA">
      <w:pPr>
        <w:rPr>
          <w:rFonts w:ascii="Figtree" w:eastAsia="Figtree" w:hAnsi="Figtree" w:cs="Figtree"/>
          <w:sz w:val="22"/>
          <w:szCs w:val="22"/>
        </w:rPr>
      </w:pPr>
      <w:r w:rsidRPr="4C46D4DA">
        <w:rPr>
          <w:rFonts w:ascii="Figtree" w:eastAsia="Figtree" w:hAnsi="Figtree" w:cs="Figtree"/>
          <w:sz w:val="22"/>
          <w:szCs w:val="22"/>
        </w:rPr>
        <w:t>GEPC</w:t>
      </w:r>
      <w:r w:rsidR="6C31EFA5" w:rsidRPr="4C46D4DA">
        <w:rPr>
          <w:rFonts w:ascii="Figtree" w:eastAsia="Figtree" w:hAnsi="Figtree" w:cs="Figtree"/>
          <w:sz w:val="22"/>
          <w:szCs w:val="22"/>
        </w:rPr>
        <w:t xml:space="preserve"> launches against a backdrop of escalating policy pressure on the electronics industry, including tariff volatility, export controls, and competing domestic investment mandates. The Global Electronics Association's own trade flows research underscores the urgency: global electronics trade totaled </w:t>
      </w:r>
      <w:bookmarkStart w:id="0" w:name="_Int_tm0tbDzD"/>
      <w:r w:rsidR="6C31EFA5" w:rsidRPr="4C46D4DA">
        <w:rPr>
          <w:rFonts w:ascii="Figtree" w:eastAsia="Figtree" w:hAnsi="Figtree" w:cs="Figtree"/>
          <w:sz w:val="22"/>
          <w:szCs w:val="22"/>
        </w:rPr>
        <w:t>$4.5 trillion</w:t>
      </w:r>
      <w:bookmarkEnd w:id="0"/>
      <w:r w:rsidR="6C31EFA5" w:rsidRPr="4C46D4DA">
        <w:rPr>
          <w:rFonts w:ascii="Figtree" w:eastAsia="Figtree" w:hAnsi="Figtree" w:cs="Figtree"/>
          <w:sz w:val="22"/>
          <w:szCs w:val="22"/>
        </w:rPr>
        <w:t xml:space="preserve"> in 2023, with supply chains more globally interdependent than any other industry. That interdependence makes coordinated advocacy not just useful, but essential.</w:t>
      </w:r>
    </w:p>
    <w:p w14:paraId="76A4F34C" w14:textId="4AE7E476" w:rsidR="00F50248" w:rsidRPr="00F50248" w:rsidRDefault="09F3B899" w:rsidP="4C46D4DA">
      <w:pPr>
        <w:rPr>
          <w:rFonts w:ascii="Figtree" w:eastAsia="Figtree" w:hAnsi="Figtree" w:cs="Figtree"/>
          <w:sz w:val="22"/>
          <w:szCs w:val="22"/>
        </w:rPr>
      </w:pPr>
      <w:r w:rsidRPr="4C46D4DA">
        <w:rPr>
          <w:rFonts w:ascii="Figtree" w:eastAsia="Figtree" w:hAnsi="Figtree" w:cs="Figtree"/>
          <w:sz w:val="22"/>
          <w:szCs w:val="22"/>
        </w:rPr>
        <w:t xml:space="preserve">"No single company or country can navigate this environment alone," </w:t>
      </w:r>
      <w:r w:rsidR="4153E835" w:rsidRPr="4C46D4DA">
        <w:rPr>
          <w:rFonts w:ascii="Figtree" w:eastAsia="Figtree" w:hAnsi="Figtree" w:cs="Figtree"/>
          <w:sz w:val="22"/>
          <w:szCs w:val="22"/>
        </w:rPr>
        <w:t>said</w:t>
      </w:r>
      <w:r w:rsidR="468E0557" w:rsidRPr="4C46D4DA">
        <w:rPr>
          <w:rFonts w:ascii="Figtree" w:eastAsia="Figtree" w:hAnsi="Figtree" w:cs="Figtree"/>
          <w:sz w:val="22"/>
          <w:szCs w:val="22"/>
        </w:rPr>
        <w:t xml:space="preserve"> </w:t>
      </w:r>
      <w:r w:rsidR="4E180B57" w:rsidRPr="4C46D4DA">
        <w:rPr>
          <w:rFonts w:ascii="Figtree" w:eastAsia="Figtree" w:hAnsi="Figtree" w:cs="Figtree"/>
          <w:sz w:val="22"/>
          <w:szCs w:val="22"/>
        </w:rPr>
        <w:t xml:space="preserve">Thomas Cetta, </w:t>
      </w:r>
      <w:r w:rsidR="3DDE213B" w:rsidRPr="4C46D4DA">
        <w:rPr>
          <w:rFonts w:ascii="Figtree" w:eastAsia="Figtree" w:hAnsi="Figtree" w:cs="Figtree"/>
          <w:sz w:val="22"/>
          <w:szCs w:val="22"/>
        </w:rPr>
        <w:t xml:space="preserve">Senior Vice President, Jabil and </w:t>
      </w:r>
      <w:r w:rsidR="672F9E6A" w:rsidRPr="4C46D4DA">
        <w:rPr>
          <w:rFonts w:ascii="Figtree" w:eastAsia="Figtree" w:hAnsi="Figtree" w:cs="Figtree"/>
          <w:sz w:val="22"/>
          <w:szCs w:val="22"/>
        </w:rPr>
        <w:t xml:space="preserve">chairperson of the </w:t>
      </w:r>
      <w:r w:rsidR="3DDE213B" w:rsidRPr="4C46D4DA">
        <w:rPr>
          <w:rFonts w:ascii="Figtree" w:eastAsia="Figtree" w:hAnsi="Figtree" w:cs="Figtree"/>
          <w:sz w:val="22"/>
          <w:szCs w:val="22"/>
        </w:rPr>
        <w:t>GEPC</w:t>
      </w:r>
      <w:r w:rsidRPr="4C46D4DA">
        <w:rPr>
          <w:rFonts w:ascii="Figtree" w:eastAsia="Figtree" w:hAnsi="Figtree" w:cs="Figtree"/>
          <w:sz w:val="22"/>
          <w:szCs w:val="22"/>
        </w:rPr>
        <w:t>. "The Global Electronics Policy Council gives the industry the structure and discipline to speak with one voice on the challenges that matter most and to engage governments with the credibility and accountability that comes from real organizational commitment."</w:t>
      </w:r>
    </w:p>
    <w:p w14:paraId="3116A8B7" w14:textId="77777777" w:rsidR="00F50248" w:rsidRPr="00F50248" w:rsidRDefault="6CDC57C8" w:rsidP="4C46D4DA">
      <w:pPr>
        <w:rPr>
          <w:rFonts w:ascii="Figtree" w:eastAsia="Figtree" w:hAnsi="Figtree" w:cs="Figtree"/>
          <w:b/>
          <w:bCs/>
          <w:sz w:val="22"/>
          <w:szCs w:val="22"/>
        </w:rPr>
      </w:pPr>
      <w:r w:rsidRPr="4C46D4DA">
        <w:rPr>
          <w:rFonts w:ascii="Figtree" w:eastAsia="Figtree" w:hAnsi="Figtree" w:cs="Figtree"/>
          <w:b/>
          <w:bCs/>
          <w:sz w:val="22"/>
          <w:szCs w:val="22"/>
        </w:rPr>
        <w:t>A Council Built for Action, Not Just Alignment</w:t>
      </w:r>
    </w:p>
    <w:p w14:paraId="4D5342EE" w14:textId="1E2FF1B4" w:rsidR="00F50248" w:rsidRPr="00F50248" w:rsidRDefault="6C31EFA5" w:rsidP="4C46D4DA">
      <w:pPr>
        <w:rPr>
          <w:rFonts w:ascii="Figtree" w:eastAsia="Figtree" w:hAnsi="Figtree" w:cs="Figtree"/>
          <w:sz w:val="22"/>
          <w:szCs w:val="22"/>
        </w:rPr>
      </w:pPr>
      <w:r w:rsidRPr="4C46D4DA">
        <w:rPr>
          <w:rFonts w:ascii="Figtree" w:eastAsia="Figtree" w:hAnsi="Figtree" w:cs="Figtree"/>
          <w:sz w:val="22"/>
          <w:szCs w:val="22"/>
        </w:rPr>
        <w:t>Unlike informal industry coalitions, the Global Electronics Policy Council is governed by formal bylaws, a defined leadership structure, and regional execution arms spanning North America, Europe, East Asia, and India/Southeast Asia. The Council will produce an approved global policy agenda and annual advocacy plan, issue formal policy positions and testimony, and deliver quarterly reporting on government engagement activity.</w:t>
      </w:r>
    </w:p>
    <w:p w14:paraId="0E3B851F" w14:textId="4ECAEB18" w:rsidR="00F50248" w:rsidRPr="00F50248" w:rsidRDefault="6C31EFA5" w:rsidP="4C46D4DA">
      <w:pPr>
        <w:rPr>
          <w:rFonts w:ascii="Figtree" w:eastAsia="Figtree" w:hAnsi="Figtree" w:cs="Figtree"/>
          <w:sz w:val="22"/>
          <w:szCs w:val="22"/>
        </w:rPr>
      </w:pPr>
      <w:r w:rsidRPr="4C46D4DA">
        <w:rPr>
          <w:rFonts w:ascii="Figtree" w:eastAsia="Figtree" w:hAnsi="Figtree" w:cs="Figtree"/>
          <w:sz w:val="22"/>
          <w:szCs w:val="22"/>
        </w:rPr>
        <w:t xml:space="preserve">Inaugural members include </w:t>
      </w:r>
      <w:hyperlink r:id="rId10" w:history="1">
        <w:r w:rsidR="4F5C4D75" w:rsidRPr="00302D6B">
          <w:rPr>
            <w:rStyle w:val="Hyperlink"/>
            <w:rFonts w:ascii="Figtree" w:eastAsia="Figtree" w:hAnsi="Figtree" w:cs="Figtree"/>
            <w:sz w:val="22"/>
            <w:szCs w:val="22"/>
          </w:rPr>
          <w:t>AT&amp;S</w:t>
        </w:r>
      </w:hyperlink>
      <w:r w:rsidR="4F5C4D75" w:rsidRPr="4C46D4DA">
        <w:rPr>
          <w:rFonts w:ascii="Figtree" w:eastAsia="Figtree" w:hAnsi="Figtree" w:cs="Figtree"/>
          <w:sz w:val="22"/>
          <w:szCs w:val="22"/>
        </w:rPr>
        <w:t xml:space="preserve">, </w:t>
      </w:r>
      <w:hyperlink r:id="rId11" w:history="1">
        <w:r w:rsidR="57933AA5" w:rsidRPr="00302D6B">
          <w:rPr>
            <w:rStyle w:val="Hyperlink"/>
            <w:rFonts w:ascii="Figtree" w:eastAsia="Figtree" w:hAnsi="Figtree" w:cs="Figtree"/>
            <w:sz w:val="22"/>
            <w:szCs w:val="22"/>
          </w:rPr>
          <w:t>Flex,</w:t>
        </w:r>
      </w:hyperlink>
      <w:r w:rsidR="57933AA5" w:rsidRPr="4C46D4DA">
        <w:rPr>
          <w:rFonts w:ascii="Figtree" w:eastAsia="Figtree" w:hAnsi="Figtree" w:cs="Figtree"/>
          <w:sz w:val="22"/>
          <w:szCs w:val="22"/>
        </w:rPr>
        <w:t xml:space="preserve"> </w:t>
      </w:r>
      <w:hyperlink r:id="rId12" w:history="1">
        <w:r w:rsidR="57933AA5" w:rsidRPr="00302D6B">
          <w:rPr>
            <w:rStyle w:val="Hyperlink"/>
            <w:rFonts w:ascii="Figtree" w:eastAsia="Figtree" w:hAnsi="Figtree" w:cs="Figtree"/>
            <w:sz w:val="22"/>
            <w:szCs w:val="22"/>
          </w:rPr>
          <w:t>Jabil,</w:t>
        </w:r>
      </w:hyperlink>
      <w:r w:rsidR="57933AA5" w:rsidRPr="4C46D4DA">
        <w:rPr>
          <w:rFonts w:ascii="Figtree" w:eastAsia="Figtree" w:hAnsi="Figtree" w:cs="Figtree"/>
          <w:sz w:val="22"/>
          <w:szCs w:val="22"/>
        </w:rPr>
        <w:t xml:space="preserve"> </w:t>
      </w:r>
      <w:hyperlink r:id="rId13" w:history="1">
        <w:r w:rsidR="6452558E" w:rsidRPr="00302D6B">
          <w:rPr>
            <w:rStyle w:val="Hyperlink"/>
            <w:rFonts w:ascii="Figtree" w:eastAsia="Figtree" w:hAnsi="Figtree" w:cs="Figtree"/>
            <w:sz w:val="22"/>
            <w:szCs w:val="22"/>
          </w:rPr>
          <w:t>Plexus</w:t>
        </w:r>
      </w:hyperlink>
      <w:r w:rsidRPr="4C46D4DA">
        <w:rPr>
          <w:rFonts w:ascii="Figtree" w:eastAsia="Figtree" w:hAnsi="Figtree" w:cs="Figtree"/>
          <w:sz w:val="22"/>
          <w:szCs w:val="22"/>
        </w:rPr>
        <w:t xml:space="preserve">, </w:t>
      </w:r>
      <w:hyperlink r:id="rId14" w:history="1">
        <w:r w:rsidR="589E4009" w:rsidRPr="00302D6B">
          <w:rPr>
            <w:rStyle w:val="Hyperlink"/>
            <w:rFonts w:ascii="Figtree" w:eastAsia="Figtree" w:hAnsi="Figtree" w:cs="Figtree"/>
            <w:sz w:val="22"/>
            <w:szCs w:val="22"/>
          </w:rPr>
          <w:t>TSMC</w:t>
        </w:r>
        <w:r w:rsidRPr="00302D6B">
          <w:rPr>
            <w:rStyle w:val="Hyperlink"/>
            <w:rFonts w:ascii="Figtree" w:eastAsia="Figtree" w:hAnsi="Figtree" w:cs="Figtree"/>
            <w:sz w:val="22"/>
            <w:szCs w:val="22"/>
          </w:rPr>
          <w:t>,</w:t>
        </w:r>
      </w:hyperlink>
      <w:r w:rsidRPr="4C46D4DA">
        <w:rPr>
          <w:rFonts w:ascii="Figtree" w:eastAsia="Figtree" w:hAnsi="Figtree" w:cs="Figtree"/>
          <w:sz w:val="22"/>
          <w:szCs w:val="22"/>
        </w:rPr>
        <w:t xml:space="preserve"> </w:t>
      </w:r>
      <w:r w:rsidR="77E51EF4" w:rsidRPr="4C46D4DA">
        <w:rPr>
          <w:rFonts w:ascii="Figtree" w:eastAsia="Figtree" w:hAnsi="Figtree" w:cs="Figtree"/>
          <w:sz w:val="22"/>
          <w:szCs w:val="22"/>
        </w:rPr>
        <w:t xml:space="preserve">and </w:t>
      </w:r>
      <w:hyperlink r:id="rId15" w:history="1">
        <w:r w:rsidR="29190C61" w:rsidRPr="00302D6B">
          <w:rPr>
            <w:rStyle w:val="Hyperlink"/>
            <w:rFonts w:ascii="Figtree" w:eastAsia="Figtree" w:hAnsi="Figtree" w:cs="Figtree"/>
            <w:sz w:val="22"/>
            <w:szCs w:val="22"/>
          </w:rPr>
          <w:t>TTM Technologies</w:t>
        </w:r>
      </w:hyperlink>
      <w:r w:rsidR="5E93789D" w:rsidRPr="4C46D4DA">
        <w:rPr>
          <w:rFonts w:ascii="Figtree" w:eastAsia="Figtree" w:hAnsi="Figtree" w:cs="Figtree"/>
          <w:sz w:val="22"/>
          <w:szCs w:val="22"/>
        </w:rPr>
        <w:t xml:space="preserve"> </w:t>
      </w:r>
      <w:bookmarkStart w:id="1" w:name="_Int_7KtCCL6Q"/>
      <w:r w:rsidRPr="4C46D4DA">
        <w:rPr>
          <w:rFonts w:ascii="Figtree" w:eastAsia="Figtree" w:hAnsi="Figtree" w:cs="Figtree"/>
          <w:sz w:val="22"/>
          <w:szCs w:val="22"/>
        </w:rPr>
        <w:t>representing</w:t>
      </w:r>
      <w:bookmarkEnd w:id="1"/>
      <w:r w:rsidRPr="4C46D4DA">
        <w:rPr>
          <w:rFonts w:ascii="Figtree" w:eastAsia="Figtree" w:hAnsi="Figtree" w:cs="Figtree"/>
          <w:sz w:val="22"/>
          <w:szCs w:val="22"/>
        </w:rPr>
        <w:t xml:space="preserve"> a deliberately balanced cross-section of the electronics value chain.</w:t>
      </w:r>
    </w:p>
    <w:p w14:paraId="1C6EB5E1" w14:textId="77777777" w:rsidR="00F50248" w:rsidRPr="00F50248" w:rsidRDefault="6CDC57C8" w:rsidP="4C46D4DA">
      <w:pPr>
        <w:rPr>
          <w:rFonts w:ascii="Figtree" w:eastAsia="Figtree" w:hAnsi="Figtree" w:cs="Figtree"/>
          <w:b/>
          <w:bCs/>
          <w:sz w:val="22"/>
          <w:szCs w:val="22"/>
        </w:rPr>
      </w:pPr>
      <w:r w:rsidRPr="4C46D4DA">
        <w:rPr>
          <w:rFonts w:ascii="Figtree" w:eastAsia="Figtree" w:hAnsi="Figtree" w:cs="Figtree"/>
          <w:b/>
          <w:bCs/>
          <w:sz w:val="22"/>
          <w:szCs w:val="22"/>
        </w:rPr>
        <w:t>A Clear and Ambitious Policy Framework</w:t>
      </w:r>
    </w:p>
    <w:p w14:paraId="799A5D8D" w14:textId="530DC6CF" w:rsidR="00F50248" w:rsidRPr="00F50248" w:rsidRDefault="6C31EFA5" w:rsidP="4C46D4DA">
      <w:pPr>
        <w:rPr>
          <w:rFonts w:ascii="Figtree" w:eastAsia="Figtree" w:hAnsi="Figtree" w:cs="Figtree"/>
          <w:sz w:val="22"/>
          <w:szCs w:val="22"/>
        </w:rPr>
      </w:pPr>
      <w:r w:rsidRPr="4C46D4DA">
        <w:rPr>
          <w:rFonts w:ascii="Figtree" w:eastAsia="Figtree" w:hAnsi="Figtree" w:cs="Figtree"/>
          <w:sz w:val="22"/>
          <w:szCs w:val="22"/>
        </w:rPr>
        <w:t xml:space="preserve">The Council's advocacy will be organized around five priorities drawn from the Global Electronics Association's 2026 Policy Agenda: safeguarding predictable access to global </w:t>
      </w:r>
      <w:r w:rsidRPr="4C46D4DA">
        <w:rPr>
          <w:rFonts w:ascii="Figtree" w:eastAsia="Figtree" w:hAnsi="Figtree" w:cs="Figtree"/>
          <w:sz w:val="22"/>
          <w:szCs w:val="22"/>
        </w:rPr>
        <w:lastRenderedPageBreak/>
        <w:t>markets; investing in domestic manufacturing capacity and capability; building robust workforce pipelines for the electronics industry; supporting industry-led technical and sustainability standards while rightsizing regulation; and accelerating technology leadership through collaborative R&amp;D.</w:t>
      </w:r>
      <w:r w:rsidR="1B411FD2" w:rsidRPr="4C46D4DA">
        <w:rPr>
          <w:rFonts w:ascii="Figtree" w:eastAsia="Figtree" w:hAnsi="Figtree" w:cs="Figtree"/>
          <w:sz w:val="22"/>
          <w:szCs w:val="22"/>
        </w:rPr>
        <w:t xml:space="preserve"> </w:t>
      </w:r>
      <w:r w:rsidRPr="4C46D4DA">
        <w:rPr>
          <w:rFonts w:ascii="Figtree" w:eastAsia="Figtree" w:hAnsi="Figtree" w:cs="Figtree"/>
          <w:sz w:val="22"/>
          <w:szCs w:val="22"/>
        </w:rPr>
        <w:t>Regional councils will execute against this global framework</w:t>
      </w:r>
      <w:r w:rsidR="7BE0DADC" w:rsidRPr="4C46D4DA">
        <w:rPr>
          <w:rFonts w:ascii="Figtree" w:eastAsia="Figtree" w:hAnsi="Figtree" w:cs="Figtree"/>
          <w:sz w:val="22"/>
          <w:szCs w:val="22"/>
        </w:rPr>
        <w:t>.</w:t>
      </w:r>
      <w:r w:rsidRPr="4C46D4DA">
        <w:rPr>
          <w:rFonts w:ascii="Figtree" w:eastAsia="Figtree" w:hAnsi="Figtree" w:cs="Figtree"/>
          <w:sz w:val="22"/>
          <w:szCs w:val="22"/>
        </w:rPr>
        <w:t xml:space="preserve"> </w:t>
      </w:r>
    </w:p>
    <w:p w14:paraId="3203F524" w14:textId="7940E6CB" w:rsidR="00F50248" w:rsidRDefault="6CDC57C8" w:rsidP="4C46D4DA">
      <w:pPr>
        <w:rPr>
          <w:rFonts w:ascii="Figtree" w:eastAsia="Figtree" w:hAnsi="Figtree" w:cs="Figtree"/>
          <w:sz w:val="22"/>
          <w:szCs w:val="22"/>
        </w:rPr>
      </w:pPr>
      <w:r w:rsidRPr="4C46D4DA">
        <w:rPr>
          <w:rFonts w:ascii="Figtree" w:eastAsia="Figtree" w:hAnsi="Figtree" w:cs="Figtree"/>
          <w:sz w:val="22"/>
          <w:szCs w:val="22"/>
        </w:rPr>
        <w:t>"</w:t>
      </w:r>
      <w:r w:rsidR="19A26689" w:rsidRPr="4C46D4DA">
        <w:rPr>
          <w:rFonts w:ascii="Figtree" w:eastAsia="Figtree" w:hAnsi="Figtree" w:cs="Figtree"/>
          <w:sz w:val="22"/>
          <w:szCs w:val="22"/>
        </w:rPr>
        <w:t>The GEPC reinforces an essential aspect of our industry: a strong, connected global electronics manufacturing community</w:t>
      </w:r>
      <w:r w:rsidRPr="4C46D4DA">
        <w:rPr>
          <w:rFonts w:ascii="Figtree" w:eastAsia="Figtree" w:hAnsi="Figtree" w:cs="Figtree"/>
          <w:sz w:val="22"/>
          <w:szCs w:val="22"/>
        </w:rPr>
        <w:t xml:space="preserve">," said </w:t>
      </w:r>
      <w:r w:rsidR="25BB3874" w:rsidRPr="4C46D4DA">
        <w:rPr>
          <w:rFonts w:ascii="Figtree" w:eastAsia="Figtree" w:hAnsi="Figtree" w:cs="Figtree"/>
          <w:sz w:val="22"/>
          <w:szCs w:val="22"/>
        </w:rPr>
        <w:t>Chris Mitchell, VP Global Government Relations, Global Electronics Association.</w:t>
      </w:r>
      <w:r w:rsidRPr="4C46D4DA">
        <w:rPr>
          <w:rFonts w:ascii="Figtree" w:eastAsia="Figtree" w:hAnsi="Figtree" w:cs="Figtree"/>
          <w:sz w:val="22"/>
          <w:szCs w:val="22"/>
        </w:rPr>
        <w:t xml:space="preserve"> "Th</w:t>
      </w:r>
      <w:r w:rsidR="2B22BDF1" w:rsidRPr="4C46D4DA">
        <w:rPr>
          <w:rFonts w:ascii="Figtree" w:eastAsia="Figtree" w:hAnsi="Figtree" w:cs="Figtree"/>
          <w:sz w:val="22"/>
          <w:szCs w:val="22"/>
        </w:rPr>
        <w:t xml:space="preserve">is </w:t>
      </w:r>
      <w:r w:rsidRPr="4C46D4DA">
        <w:rPr>
          <w:rFonts w:ascii="Figtree" w:eastAsia="Figtree" w:hAnsi="Figtree" w:cs="Figtree"/>
          <w:sz w:val="22"/>
          <w:szCs w:val="22"/>
        </w:rPr>
        <w:t xml:space="preserve">Council </w:t>
      </w:r>
      <w:r w:rsidR="5DD35558" w:rsidRPr="4C46D4DA">
        <w:rPr>
          <w:rFonts w:ascii="Figtree" w:eastAsia="Figtree" w:hAnsi="Figtree" w:cs="Figtree"/>
          <w:sz w:val="22"/>
          <w:szCs w:val="22"/>
        </w:rPr>
        <w:t xml:space="preserve">will </w:t>
      </w:r>
      <w:r w:rsidR="00729412" w:rsidRPr="4C46D4DA">
        <w:rPr>
          <w:rFonts w:ascii="Figtree" w:eastAsia="Figtree" w:hAnsi="Figtree" w:cs="Figtree"/>
          <w:sz w:val="22"/>
          <w:szCs w:val="22"/>
        </w:rPr>
        <w:t xml:space="preserve">advance a policy agenda that strengthens supply-chain resilience, accelerates innovation, and secures trusted access to global markets for </w:t>
      </w:r>
      <w:r w:rsidR="015C852A" w:rsidRPr="4C46D4DA">
        <w:rPr>
          <w:rFonts w:ascii="Figtree" w:eastAsia="Figtree" w:hAnsi="Figtree" w:cs="Figtree"/>
          <w:sz w:val="22"/>
          <w:szCs w:val="22"/>
        </w:rPr>
        <w:t xml:space="preserve">the </w:t>
      </w:r>
      <w:r w:rsidR="00729412" w:rsidRPr="4C46D4DA">
        <w:rPr>
          <w:rFonts w:ascii="Figtree" w:eastAsia="Figtree" w:hAnsi="Figtree" w:cs="Figtree"/>
          <w:sz w:val="22"/>
          <w:szCs w:val="22"/>
        </w:rPr>
        <w:t>3,200+ member companies</w:t>
      </w:r>
      <w:r w:rsidR="7D82E7EE" w:rsidRPr="4C46D4DA">
        <w:rPr>
          <w:rFonts w:ascii="Figtree" w:eastAsia="Figtree" w:hAnsi="Figtree" w:cs="Figtree"/>
          <w:sz w:val="22"/>
          <w:szCs w:val="22"/>
        </w:rPr>
        <w:t>.</w:t>
      </w:r>
      <w:r w:rsidRPr="4C46D4DA">
        <w:rPr>
          <w:rFonts w:ascii="Figtree" w:eastAsia="Figtree" w:hAnsi="Figtree" w:cs="Figtree"/>
          <w:sz w:val="22"/>
          <w:szCs w:val="22"/>
        </w:rPr>
        <w:t>"</w:t>
      </w:r>
    </w:p>
    <w:p w14:paraId="39FEBCA0" w14:textId="6FB53FB4" w:rsidR="00302D6B" w:rsidRPr="00F50248" w:rsidRDefault="00302D6B" w:rsidP="00302D6B">
      <w:pPr>
        <w:jc w:val="center"/>
        <w:rPr>
          <w:rFonts w:ascii="Figtree" w:eastAsia="Figtree" w:hAnsi="Figtree" w:cs="Figtree"/>
          <w:sz w:val="22"/>
          <w:szCs w:val="22"/>
        </w:rPr>
      </w:pPr>
      <w:r>
        <w:rPr>
          <w:rFonts w:ascii="Figtree" w:eastAsia="Figtree" w:hAnsi="Figtree" w:cs="Figtree"/>
          <w:sz w:val="22"/>
          <w:szCs w:val="22"/>
        </w:rPr>
        <w:t>###</w:t>
      </w:r>
    </w:p>
    <w:p w14:paraId="14DDC774" w14:textId="5677BF11" w:rsidR="00F50248" w:rsidRPr="00302D6B" w:rsidRDefault="09F3B899" w:rsidP="4C46D4DA">
      <w:pPr>
        <w:rPr>
          <w:rFonts w:ascii="Figtree" w:eastAsia="Figtree" w:hAnsi="Figtree" w:cs="Figtree"/>
          <w:sz w:val="20"/>
          <w:szCs w:val="20"/>
        </w:rPr>
      </w:pPr>
      <w:r w:rsidRPr="00302D6B">
        <w:rPr>
          <w:rFonts w:ascii="Figtree" w:eastAsia="Figtree" w:hAnsi="Figtree" w:cs="Figtree"/>
          <w:b/>
          <w:bCs/>
          <w:sz w:val="20"/>
          <w:szCs w:val="20"/>
        </w:rPr>
        <w:t>About the Global Electronics Association</w:t>
      </w:r>
      <w:r w:rsidRPr="00302D6B">
        <w:rPr>
          <w:rFonts w:ascii="Figtree" w:eastAsia="Figtree" w:hAnsi="Figtree" w:cs="Figtree"/>
          <w:sz w:val="20"/>
          <w:szCs w:val="20"/>
        </w:rPr>
        <w:t xml:space="preserve"> </w:t>
      </w:r>
    </w:p>
    <w:p w14:paraId="6EDA111E" w14:textId="11642A7E" w:rsidR="7D4C452D" w:rsidRPr="00302D6B" w:rsidRDefault="6CDC57C8" w:rsidP="4C46D4DA">
      <w:pPr>
        <w:rPr>
          <w:rFonts w:ascii="Figtree" w:eastAsia="Figtree" w:hAnsi="Figtree" w:cs="Figtree"/>
          <w:sz w:val="20"/>
          <w:szCs w:val="20"/>
        </w:rPr>
      </w:pPr>
      <w:r w:rsidRPr="00302D6B">
        <w:rPr>
          <w:rFonts w:ascii="Figtree" w:eastAsia="Figtree" w:hAnsi="Figtree" w:cs="Figtree"/>
          <w:sz w:val="20"/>
          <w:szCs w:val="20"/>
        </w:rPr>
        <w:t xml:space="preserve">The Global Electronics Association is the voice of the electronics industry, working with thousands of members and partners to build a more resilient supply chain and drive sustainable growth. We </w:t>
      </w:r>
      <w:proofErr w:type="gramStart"/>
      <w:r w:rsidRPr="00302D6B">
        <w:rPr>
          <w:rFonts w:ascii="Figtree" w:eastAsia="Figtree" w:hAnsi="Figtree" w:cs="Figtree"/>
          <w:sz w:val="20"/>
          <w:szCs w:val="20"/>
        </w:rPr>
        <w:t>advocate for</w:t>
      </w:r>
      <w:proofErr w:type="gramEnd"/>
      <w:r w:rsidRPr="00302D6B">
        <w:rPr>
          <w:rFonts w:ascii="Figtree" w:eastAsia="Figtree" w:hAnsi="Figtree" w:cs="Figtree"/>
          <w:sz w:val="20"/>
          <w:szCs w:val="20"/>
        </w:rPr>
        <w:t xml:space="preserve"> fair trade, smart regulation, and regional manufacturing, and </w:t>
      </w:r>
      <w:bookmarkStart w:id="2" w:name="_Int_Rfw0D1BF"/>
      <w:r w:rsidRPr="00302D6B">
        <w:rPr>
          <w:rFonts w:ascii="Figtree" w:eastAsia="Figtree" w:hAnsi="Figtree" w:cs="Figtree"/>
          <w:sz w:val="20"/>
          <w:szCs w:val="20"/>
        </w:rPr>
        <w:t>educate on</w:t>
      </w:r>
      <w:bookmarkEnd w:id="2"/>
      <w:r w:rsidRPr="00302D6B">
        <w:rPr>
          <w:rFonts w:ascii="Figtree" w:eastAsia="Figtree" w:hAnsi="Figtree" w:cs="Figtree"/>
          <w:sz w:val="20"/>
          <w:szCs w:val="20"/>
        </w:rPr>
        <w:t xml:space="preserve"> industry practices, actionable intelligence and technical innovations to empower the future. The Association collaborates with governments and companies worldwide to advance a trusted and prosperous electronics industry. Formerly known as IPC, the organization serves a </w:t>
      </w:r>
      <w:bookmarkStart w:id="3" w:name="_Int_jg0O0T0w"/>
      <w:r w:rsidRPr="00302D6B">
        <w:rPr>
          <w:rFonts w:ascii="Figtree" w:eastAsia="Figtree" w:hAnsi="Figtree" w:cs="Figtree"/>
          <w:sz w:val="20"/>
          <w:szCs w:val="20"/>
        </w:rPr>
        <w:t>$6 trillion</w:t>
      </w:r>
      <w:bookmarkEnd w:id="3"/>
      <w:r w:rsidRPr="00302D6B">
        <w:rPr>
          <w:rFonts w:ascii="Figtree" w:eastAsia="Figtree" w:hAnsi="Figtree" w:cs="Figtree"/>
          <w:sz w:val="20"/>
          <w:szCs w:val="20"/>
        </w:rPr>
        <w:t xml:space="preserve"> market and </w:t>
      </w:r>
      <w:bookmarkStart w:id="4" w:name="_Int_yVX5qxQw"/>
      <w:r w:rsidRPr="00302D6B">
        <w:rPr>
          <w:rFonts w:ascii="Figtree" w:eastAsia="Figtree" w:hAnsi="Figtree" w:cs="Figtree"/>
          <w:sz w:val="20"/>
          <w:szCs w:val="20"/>
        </w:rPr>
        <w:t>operates</w:t>
      </w:r>
      <w:bookmarkEnd w:id="4"/>
      <w:r w:rsidRPr="00302D6B">
        <w:rPr>
          <w:rFonts w:ascii="Figtree" w:eastAsia="Figtree" w:hAnsi="Figtree" w:cs="Figtree"/>
          <w:sz w:val="20"/>
          <w:szCs w:val="20"/>
        </w:rPr>
        <w:t xml:space="preserve"> from offices across Asia-Pacific, Europe and North and South America. Learn more at </w:t>
      </w:r>
      <w:hyperlink r:id="rId16">
        <w:r w:rsidRPr="00302D6B">
          <w:rPr>
            <w:rStyle w:val="Hyperlink"/>
            <w:rFonts w:ascii="Figtree" w:eastAsia="Figtree" w:hAnsi="Figtree" w:cs="Figtree"/>
            <w:sz w:val="20"/>
            <w:szCs w:val="20"/>
          </w:rPr>
          <w:t>www.electronics.org</w:t>
        </w:r>
      </w:hyperlink>
      <w:r w:rsidRPr="00302D6B">
        <w:rPr>
          <w:rFonts w:ascii="Figtree" w:eastAsia="Figtree" w:hAnsi="Figtree" w:cs="Figtree"/>
          <w:sz w:val="20"/>
          <w:szCs w:val="20"/>
        </w:rPr>
        <w:t>.</w:t>
      </w:r>
    </w:p>
    <w:p w14:paraId="199E1853" w14:textId="14684831" w:rsidR="7D4C452D" w:rsidRDefault="7D4C452D" w:rsidP="4C46D4DA">
      <w:pPr>
        <w:rPr>
          <w:rFonts w:ascii="Figtree" w:eastAsia="Figtree" w:hAnsi="Figtree" w:cs="Figtree"/>
        </w:rPr>
      </w:pPr>
    </w:p>
    <w:sectPr w:rsidR="7D4C452D">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D4EB0" w14:textId="77777777" w:rsidR="00302D6B" w:rsidRDefault="00302D6B">
      <w:pPr>
        <w:spacing w:after="0" w:line="240" w:lineRule="auto"/>
      </w:pPr>
      <w:r>
        <w:separator/>
      </w:r>
    </w:p>
  </w:endnote>
  <w:endnote w:type="continuationSeparator" w:id="0">
    <w:p w14:paraId="5C99D202" w14:textId="77777777" w:rsidR="00302D6B" w:rsidRDefault="0030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Figtree">
    <w:panose1 w:val="00000000000000000000"/>
    <w:charset w:val="00"/>
    <w:family w:val="auto"/>
    <w:pitch w:val="variable"/>
    <w:sig w:usb0="A000006F" w:usb1="0000007B"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C46D4DA" w14:paraId="6A131A36" w14:textId="77777777" w:rsidTr="4C46D4DA">
      <w:trPr>
        <w:trHeight w:val="300"/>
      </w:trPr>
      <w:tc>
        <w:tcPr>
          <w:tcW w:w="3120" w:type="dxa"/>
        </w:tcPr>
        <w:p w14:paraId="331447AB" w14:textId="25ECADB0" w:rsidR="4C46D4DA" w:rsidRDefault="4C46D4DA" w:rsidP="4C46D4DA">
          <w:pPr>
            <w:pStyle w:val="Header"/>
            <w:ind w:left="-115"/>
          </w:pPr>
        </w:p>
      </w:tc>
      <w:tc>
        <w:tcPr>
          <w:tcW w:w="3120" w:type="dxa"/>
        </w:tcPr>
        <w:p w14:paraId="30CD3BFE" w14:textId="78EC1853" w:rsidR="4C46D4DA" w:rsidRDefault="4C46D4DA" w:rsidP="4C46D4DA">
          <w:pPr>
            <w:pStyle w:val="Header"/>
            <w:jc w:val="center"/>
          </w:pPr>
        </w:p>
      </w:tc>
      <w:tc>
        <w:tcPr>
          <w:tcW w:w="3120" w:type="dxa"/>
        </w:tcPr>
        <w:p w14:paraId="42B12BF8" w14:textId="59F74F62" w:rsidR="4C46D4DA" w:rsidRDefault="4C46D4DA" w:rsidP="4C46D4DA">
          <w:pPr>
            <w:pStyle w:val="Header"/>
            <w:ind w:right="-115"/>
            <w:jc w:val="right"/>
          </w:pPr>
        </w:p>
      </w:tc>
    </w:tr>
  </w:tbl>
  <w:p w14:paraId="56AECAD2" w14:textId="45407E88" w:rsidR="4C46D4DA" w:rsidRDefault="4C46D4DA" w:rsidP="4C46D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5D81" w14:textId="77777777" w:rsidR="00302D6B" w:rsidRDefault="00302D6B">
      <w:pPr>
        <w:spacing w:after="0" w:line="240" w:lineRule="auto"/>
      </w:pPr>
      <w:r>
        <w:separator/>
      </w:r>
    </w:p>
  </w:footnote>
  <w:footnote w:type="continuationSeparator" w:id="0">
    <w:p w14:paraId="3C33435F" w14:textId="77777777" w:rsidR="00302D6B" w:rsidRDefault="00302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F13D" w14:textId="41DA1EE9" w:rsidR="4C46D4DA" w:rsidRDefault="4C46D4DA" w:rsidP="4C46D4D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m0tbDzD" int2:invalidationBookmarkName="" int2:hashCode="yNX3L3n3xD/mDV" int2:id="8Cd7etPT">
      <int2:state int2:value="Rejected" int2:type="AugLoop_Text_Critique"/>
    </int2:bookmark>
    <int2:bookmark int2:bookmarkName="_Int_7KtCCL6Q" int2:invalidationBookmarkName="" int2:hashCode="KDOsmJJ/iKuLvY" int2:id="ftn62vjz">
      <int2:state int2:value="Rejected" int2:type="style"/>
    </int2:bookmark>
    <int2:bookmark int2:bookmarkName="_Int_yVX5qxQw" int2:invalidationBookmarkName="" int2:hashCode="lYDxgaT6QVo2Hp" int2:id="pU1Fh703">
      <int2:state int2:value="Rejected" int2:type="style"/>
    </int2:bookmark>
    <int2:bookmark int2:bookmarkName="_Int_jg0O0T0w" int2:invalidationBookmarkName="" int2:hashCode="NsLMOI583yLpLf" int2:id="rQ3CPuue">
      <int2:state int2:value="Rejected" int2:type="AugLoop_Text_Critique"/>
    </int2:bookmark>
    <int2:bookmark int2:bookmarkName="_Int_Rfw0D1BF" int2:invalidationBookmarkName="" int2:hashCode="KhrDoc2nUH/YxG" int2:id="0T4XFlDh">
      <int2:state int2:value="Rejected" int2:type="gram"/>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07FE"/>
    <w:multiLevelType w:val="hybridMultilevel"/>
    <w:tmpl w:val="CBE254F8"/>
    <w:lvl w:ilvl="0" w:tplc="15E8DB9E">
      <w:start w:val="1"/>
      <w:numFmt w:val="bullet"/>
      <w:lvlText w:val=""/>
      <w:lvlJc w:val="left"/>
      <w:pPr>
        <w:ind w:left="720" w:hanging="360"/>
      </w:pPr>
      <w:rPr>
        <w:rFonts w:ascii="Symbol" w:hAnsi="Symbol" w:hint="default"/>
      </w:rPr>
    </w:lvl>
    <w:lvl w:ilvl="1" w:tplc="B8481472">
      <w:start w:val="1"/>
      <w:numFmt w:val="bullet"/>
      <w:lvlText w:val="o"/>
      <w:lvlJc w:val="left"/>
      <w:pPr>
        <w:ind w:left="1440" w:hanging="360"/>
      </w:pPr>
      <w:rPr>
        <w:rFonts w:ascii="Courier New" w:hAnsi="Courier New" w:hint="default"/>
      </w:rPr>
    </w:lvl>
    <w:lvl w:ilvl="2" w:tplc="C2D60628">
      <w:start w:val="1"/>
      <w:numFmt w:val="bullet"/>
      <w:lvlText w:val=""/>
      <w:lvlJc w:val="left"/>
      <w:pPr>
        <w:ind w:left="2160" w:hanging="360"/>
      </w:pPr>
      <w:rPr>
        <w:rFonts w:ascii="Wingdings" w:hAnsi="Wingdings" w:hint="default"/>
      </w:rPr>
    </w:lvl>
    <w:lvl w:ilvl="3" w:tplc="6D360EC0">
      <w:start w:val="1"/>
      <w:numFmt w:val="bullet"/>
      <w:lvlText w:val=""/>
      <w:lvlJc w:val="left"/>
      <w:pPr>
        <w:ind w:left="2880" w:hanging="360"/>
      </w:pPr>
      <w:rPr>
        <w:rFonts w:ascii="Symbol" w:hAnsi="Symbol" w:hint="default"/>
      </w:rPr>
    </w:lvl>
    <w:lvl w:ilvl="4" w:tplc="3F1699A6">
      <w:start w:val="1"/>
      <w:numFmt w:val="bullet"/>
      <w:lvlText w:val="o"/>
      <w:lvlJc w:val="left"/>
      <w:pPr>
        <w:ind w:left="3600" w:hanging="360"/>
      </w:pPr>
      <w:rPr>
        <w:rFonts w:ascii="Courier New" w:hAnsi="Courier New" w:hint="default"/>
      </w:rPr>
    </w:lvl>
    <w:lvl w:ilvl="5" w:tplc="04FCA384">
      <w:start w:val="1"/>
      <w:numFmt w:val="bullet"/>
      <w:lvlText w:val=""/>
      <w:lvlJc w:val="left"/>
      <w:pPr>
        <w:ind w:left="4320" w:hanging="360"/>
      </w:pPr>
      <w:rPr>
        <w:rFonts w:ascii="Wingdings" w:hAnsi="Wingdings" w:hint="default"/>
      </w:rPr>
    </w:lvl>
    <w:lvl w:ilvl="6" w:tplc="8C681DA6">
      <w:start w:val="1"/>
      <w:numFmt w:val="bullet"/>
      <w:lvlText w:val=""/>
      <w:lvlJc w:val="left"/>
      <w:pPr>
        <w:ind w:left="5040" w:hanging="360"/>
      </w:pPr>
      <w:rPr>
        <w:rFonts w:ascii="Symbol" w:hAnsi="Symbol" w:hint="default"/>
      </w:rPr>
    </w:lvl>
    <w:lvl w:ilvl="7" w:tplc="C1EABEDE">
      <w:start w:val="1"/>
      <w:numFmt w:val="bullet"/>
      <w:lvlText w:val="o"/>
      <w:lvlJc w:val="left"/>
      <w:pPr>
        <w:ind w:left="5760" w:hanging="360"/>
      </w:pPr>
      <w:rPr>
        <w:rFonts w:ascii="Courier New" w:hAnsi="Courier New" w:hint="default"/>
      </w:rPr>
    </w:lvl>
    <w:lvl w:ilvl="8" w:tplc="F1E23548">
      <w:start w:val="1"/>
      <w:numFmt w:val="bullet"/>
      <w:lvlText w:val=""/>
      <w:lvlJc w:val="left"/>
      <w:pPr>
        <w:ind w:left="6480" w:hanging="360"/>
      </w:pPr>
      <w:rPr>
        <w:rFonts w:ascii="Wingdings" w:hAnsi="Wingdings" w:hint="default"/>
      </w:rPr>
    </w:lvl>
  </w:abstractNum>
  <w:num w:numId="1" w16cid:durableId="147888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48"/>
    <w:rsid w:val="000A50E8"/>
    <w:rsid w:val="0014650C"/>
    <w:rsid w:val="0019084F"/>
    <w:rsid w:val="001C0549"/>
    <w:rsid w:val="00264467"/>
    <w:rsid w:val="002C26E9"/>
    <w:rsid w:val="00302D6B"/>
    <w:rsid w:val="003C6A90"/>
    <w:rsid w:val="00535B5E"/>
    <w:rsid w:val="006B3C36"/>
    <w:rsid w:val="006D05F2"/>
    <w:rsid w:val="00729412"/>
    <w:rsid w:val="0077055C"/>
    <w:rsid w:val="00837D56"/>
    <w:rsid w:val="008A049A"/>
    <w:rsid w:val="00931429"/>
    <w:rsid w:val="00931C16"/>
    <w:rsid w:val="00962290"/>
    <w:rsid w:val="00B03885"/>
    <w:rsid w:val="00B52FBC"/>
    <w:rsid w:val="00B9617A"/>
    <w:rsid w:val="00C04709"/>
    <w:rsid w:val="00CB681A"/>
    <w:rsid w:val="00CE4F7D"/>
    <w:rsid w:val="00D271AC"/>
    <w:rsid w:val="00D86ACC"/>
    <w:rsid w:val="00DE0618"/>
    <w:rsid w:val="00EB4DE5"/>
    <w:rsid w:val="00F50248"/>
    <w:rsid w:val="00FA7B8A"/>
    <w:rsid w:val="015C852A"/>
    <w:rsid w:val="01C2F1BC"/>
    <w:rsid w:val="01EF85B4"/>
    <w:rsid w:val="0225627B"/>
    <w:rsid w:val="028EF1E7"/>
    <w:rsid w:val="04C022DF"/>
    <w:rsid w:val="05506BE3"/>
    <w:rsid w:val="06C307B9"/>
    <w:rsid w:val="089DF285"/>
    <w:rsid w:val="09F3B899"/>
    <w:rsid w:val="0A0ECD15"/>
    <w:rsid w:val="0AE10534"/>
    <w:rsid w:val="0CC85755"/>
    <w:rsid w:val="0D039024"/>
    <w:rsid w:val="0FC5B475"/>
    <w:rsid w:val="1128CEFA"/>
    <w:rsid w:val="122228ED"/>
    <w:rsid w:val="186A17F7"/>
    <w:rsid w:val="1949CF2E"/>
    <w:rsid w:val="19A22F5B"/>
    <w:rsid w:val="19A26689"/>
    <w:rsid w:val="19AD78A3"/>
    <w:rsid w:val="1B411FD2"/>
    <w:rsid w:val="1C3EBDAD"/>
    <w:rsid w:val="1F42E833"/>
    <w:rsid w:val="2044298D"/>
    <w:rsid w:val="22A6DD06"/>
    <w:rsid w:val="22C6A455"/>
    <w:rsid w:val="22DEF98A"/>
    <w:rsid w:val="23116957"/>
    <w:rsid w:val="24B004BE"/>
    <w:rsid w:val="24F98185"/>
    <w:rsid w:val="254DCAB6"/>
    <w:rsid w:val="25BB3874"/>
    <w:rsid w:val="29190C61"/>
    <w:rsid w:val="2A6BBA23"/>
    <w:rsid w:val="2A8009DB"/>
    <w:rsid w:val="2B22BDF1"/>
    <w:rsid w:val="2BB887B9"/>
    <w:rsid w:val="2C5A9B07"/>
    <w:rsid w:val="2DB01F9C"/>
    <w:rsid w:val="31DC7775"/>
    <w:rsid w:val="34CF7EE2"/>
    <w:rsid w:val="372F75EC"/>
    <w:rsid w:val="388BDF3E"/>
    <w:rsid w:val="393ACE3E"/>
    <w:rsid w:val="3B66C5AC"/>
    <w:rsid w:val="3DDE213B"/>
    <w:rsid w:val="3FA4EE64"/>
    <w:rsid w:val="40AAA975"/>
    <w:rsid w:val="40C6D68D"/>
    <w:rsid w:val="4153E835"/>
    <w:rsid w:val="42DDE738"/>
    <w:rsid w:val="432C15B9"/>
    <w:rsid w:val="43BD2EE1"/>
    <w:rsid w:val="43F89009"/>
    <w:rsid w:val="4477BE33"/>
    <w:rsid w:val="447FC5F3"/>
    <w:rsid w:val="468E0557"/>
    <w:rsid w:val="4976863F"/>
    <w:rsid w:val="4A5BAC4E"/>
    <w:rsid w:val="4ACDC4DF"/>
    <w:rsid w:val="4B479824"/>
    <w:rsid w:val="4C46D4DA"/>
    <w:rsid w:val="4C60B385"/>
    <w:rsid w:val="4CD8C993"/>
    <w:rsid w:val="4D089D66"/>
    <w:rsid w:val="4E180B57"/>
    <w:rsid w:val="4E647F30"/>
    <w:rsid w:val="4ED72591"/>
    <w:rsid w:val="4F5C4D75"/>
    <w:rsid w:val="50BB4321"/>
    <w:rsid w:val="512B2E19"/>
    <w:rsid w:val="518EF358"/>
    <w:rsid w:val="520AF401"/>
    <w:rsid w:val="5347C961"/>
    <w:rsid w:val="53833AC1"/>
    <w:rsid w:val="547D5D3F"/>
    <w:rsid w:val="54F2312B"/>
    <w:rsid w:val="560386FB"/>
    <w:rsid w:val="57933AA5"/>
    <w:rsid w:val="589E4009"/>
    <w:rsid w:val="5902A40F"/>
    <w:rsid w:val="59CDAB63"/>
    <w:rsid w:val="59F3E96D"/>
    <w:rsid w:val="5A349ECD"/>
    <w:rsid w:val="5B9D0C35"/>
    <w:rsid w:val="5C4BD356"/>
    <w:rsid w:val="5C87DEE4"/>
    <w:rsid w:val="5DD35558"/>
    <w:rsid w:val="5E93789D"/>
    <w:rsid w:val="5F159D1B"/>
    <w:rsid w:val="5F8437A5"/>
    <w:rsid w:val="5FAFC0D3"/>
    <w:rsid w:val="5FC52486"/>
    <w:rsid w:val="6452558E"/>
    <w:rsid w:val="650907FA"/>
    <w:rsid w:val="6546E571"/>
    <w:rsid w:val="672F9E6A"/>
    <w:rsid w:val="68B74126"/>
    <w:rsid w:val="69C2B4BB"/>
    <w:rsid w:val="6A41E045"/>
    <w:rsid w:val="6B1D5809"/>
    <w:rsid w:val="6B787A6D"/>
    <w:rsid w:val="6C31EFA5"/>
    <w:rsid w:val="6CDC57C8"/>
    <w:rsid w:val="6D8CE8D7"/>
    <w:rsid w:val="6F7A83C2"/>
    <w:rsid w:val="6FB77686"/>
    <w:rsid w:val="71FEA9D0"/>
    <w:rsid w:val="72CB0578"/>
    <w:rsid w:val="72FF6A64"/>
    <w:rsid w:val="7366B851"/>
    <w:rsid w:val="75703458"/>
    <w:rsid w:val="77CA059B"/>
    <w:rsid w:val="77E51EF4"/>
    <w:rsid w:val="78FEE573"/>
    <w:rsid w:val="7BE0DADC"/>
    <w:rsid w:val="7C9C8DDE"/>
    <w:rsid w:val="7D4C452D"/>
    <w:rsid w:val="7D82E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F30F"/>
  <w15:chartTrackingRefBased/>
  <w15:docId w15:val="{26CC2927-EE9C-48FC-9E9A-47053074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0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0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0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0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0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0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248"/>
    <w:rPr>
      <w:rFonts w:eastAsiaTheme="majorEastAsia" w:cstheme="majorBidi"/>
      <w:color w:val="272727" w:themeColor="text1" w:themeTint="D8"/>
    </w:rPr>
  </w:style>
  <w:style w:type="paragraph" w:styleId="Title">
    <w:name w:val="Title"/>
    <w:basedOn w:val="Normal"/>
    <w:next w:val="Normal"/>
    <w:link w:val="TitleChar"/>
    <w:uiPriority w:val="10"/>
    <w:qFormat/>
    <w:rsid w:val="00F50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248"/>
    <w:pPr>
      <w:spacing w:before="160"/>
      <w:jc w:val="center"/>
    </w:pPr>
    <w:rPr>
      <w:i/>
      <w:iCs/>
      <w:color w:val="404040" w:themeColor="text1" w:themeTint="BF"/>
    </w:rPr>
  </w:style>
  <w:style w:type="character" w:customStyle="1" w:styleId="QuoteChar">
    <w:name w:val="Quote Char"/>
    <w:basedOn w:val="DefaultParagraphFont"/>
    <w:link w:val="Quote"/>
    <w:uiPriority w:val="29"/>
    <w:rsid w:val="00F50248"/>
    <w:rPr>
      <w:i/>
      <w:iCs/>
      <w:color w:val="404040" w:themeColor="text1" w:themeTint="BF"/>
    </w:rPr>
  </w:style>
  <w:style w:type="paragraph" w:styleId="ListParagraph">
    <w:name w:val="List Paragraph"/>
    <w:basedOn w:val="Normal"/>
    <w:uiPriority w:val="34"/>
    <w:qFormat/>
    <w:rsid w:val="00F50248"/>
    <w:pPr>
      <w:ind w:left="720"/>
      <w:contextualSpacing/>
    </w:pPr>
  </w:style>
  <w:style w:type="character" w:styleId="IntenseEmphasis">
    <w:name w:val="Intense Emphasis"/>
    <w:basedOn w:val="DefaultParagraphFont"/>
    <w:uiPriority w:val="21"/>
    <w:qFormat/>
    <w:rsid w:val="00F50248"/>
    <w:rPr>
      <w:i/>
      <w:iCs/>
      <w:color w:val="0F4761" w:themeColor="accent1" w:themeShade="BF"/>
    </w:rPr>
  </w:style>
  <w:style w:type="paragraph" w:styleId="IntenseQuote">
    <w:name w:val="Intense Quote"/>
    <w:basedOn w:val="Normal"/>
    <w:next w:val="Normal"/>
    <w:link w:val="IntenseQuoteChar"/>
    <w:uiPriority w:val="30"/>
    <w:qFormat/>
    <w:rsid w:val="00F50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0248"/>
    <w:rPr>
      <w:i/>
      <w:iCs/>
      <w:color w:val="0F4761" w:themeColor="accent1" w:themeShade="BF"/>
    </w:rPr>
  </w:style>
  <w:style w:type="character" w:styleId="IntenseReference">
    <w:name w:val="Intense Reference"/>
    <w:basedOn w:val="DefaultParagraphFont"/>
    <w:uiPriority w:val="32"/>
    <w:qFormat/>
    <w:rsid w:val="00F50248"/>
    <w:rPr>
      <w:b/>
      <w:bCs/>
      <w:smallCaps/>
      <w:color w:val="0F4761" w:themeColor="accent1" w:themeShade="BF"/>
      <w:spacing w:val="5"/>
    </w:rPr>
  </w:style>
  <w:style w:type="character" w:styleId="Hyperlink">
    <w:name w:val="Hyperlink"/>
    <w:basedOn w:val="DefaultParagraphFont"/>
    <w:uiPriority w:val="99"/>
    <w:unhideWhenUsed/>
    <w:rsid w:val="00F50248"/>
    <w:rPr>
      <w:color w:val="467886" w:themeColor="hyperlink"/>
      <w:u w:val="single"/>
    </w:rPr>
  </w:style>
  <w:style w:type="character" w:styleId="UnresolvedMention">
    <w:name w:val="Unresolved Mention"/>
    <w:basedOn w:val="DefaultParagraphFont"/>
    <w:uiPriority w:val="99"/>
    <w:semiHidden/>
    <w:unhideWhenUsed/>
    <w:rsid w:val="00F50248"/>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9084F"/>
    <w:pPr>
      <w:spacing w:after="0" w:line="240" w:lineRule="auto"/>
    </w:pPr>
  </w:style>
  <w:style w:type="paragraph" w:styleId="CommentSubject">
    <w:name w:val="annotation subject"/>
    <w:basedOn w:val="CommentText"/>
    <w:next w:val="CommentText"/>
    <w:link w:val="CommentSubjectChar"/>
    <w:uiPriority w:val="99"/>
    <w:semiHidden/>
    <w:unhideWhenUsed/>
    <w:rsid w:val="00931C16"/>
    <w:rPr>
      <w:b/>
      <w:bCs/>
    </w:rPr>
  </w:style>
  <w:style w:type="character" w:customStyle="1" w:styleId="CommentSubjectChar">
    <w:name w:val="Comment Subject Char"/>
    <w:basedOn w:val="CommentTextChar"/>
    <w:link w:val="CommentSubject"/>
    <w:uiPriority w:val="99"/>
    <w:semiHidden/>
    <w:rsid w:val="00931C16"/>
    <w:rPr>
      <w:b/>
      <w:bCs/>
      <w:sz w:val="20"/>
      <w:szCs w:val="20"/>
    </w:rPr>
  </w:style>
  <w:style w:type="paragraph" w:styleId="Header">
    <w:name w:val="header"/>
    <w:basedOn w:val="Normal"/>
    <w:uiPriority w:val="99"/>
    <w:unhideWhenUsed/>
    <w:rsid w:val="4C46D4DA"/>
    <w:pPr>
      <w:tabs>
        <w:tab w:val="center" w:pos="4680"/>
        <w:tab w:val="right" w:pos="9360"/>
      </w:tabs>
      <w:spacing w:after="0" w:line="240" w:lineRule="auto"/>
    </w:pPr>
  </w:style>
  <w:style w:type="paragraph" w:styleId="Footer">
    <w:name w:val="footer"/>
    <w:basedOn w:val="Normal"/>
    <w:uiPriority w:val="99"/>
    <w:unhideWhenUsed/>
    <w:rsid w:val="4C46D4D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lexu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jab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lectronic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lex.com/" TargetMode="External"/><Relationship Id="rId5" Type="http://schemas.openxmlformats.org/officeDocument/2006/relationships/styles" Target="styles.xml"/><Relationship Id="rId15" Type="http://schemas.openxmlformats.org/officeDocument/2006/relationships/hyperlink" Target="https://www.ttm.com/" TargetMode="External"/><Relationship Id="rId10" Type="http://schemas.openxmlformats.org/officeDocument/2006/relationships/hyperlink" Target="https://ats.net/e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smc.com/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D4BC73B37D545A060B524CCB87366" ma:contentTypeVersion="11" ma:contentTypeDescription="Create a new document." ma:contentTypeScope="" ma:versionID="eaa1147899ee6379f16cd81749661220">
  <xsd:schema xmlns:xsd="http://www.w3.org/2001/XMLSchema" xmlns:xs="http://www.w3.org/2001/XMLSchema" xmlns:p="http://schemas.microsoft.com/office/2006/metadata/properties" xmlns:ns2="ee211459-efc8-437a-b925-f93b53dc7483" xmlns:ns3="97d82f13-83ba-4bcf-aa90-0541211bf8c7" targetNamespace="http://schemas.microsoft.com/office/2006/metadata/properties" ma:root="true" ma:fieldsID="1ad966b0920a632afcebfa647cd87e62" ns2:_="" ns3:_="">
    <xsd:import namespace="ee211459-efc8-437a-b925-f93b53dc7483"/>
    <xsd:import namespace="97d82f13-83ba-4bcf-aa90-0541211bf8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11459-efc8-437a-b925-f93b53dc7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ad7a08-944e-4e36-a602-2a56e5b6359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82f13-83ba-4bcf-aa90-0541211bf8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cf499a-76d3-44d4-94a2-313037e00ac8}" ma:internalName="TaxCatchAll" ma:showField="CatchAllData" ma:web="97d82f13-83ba-4bcf-aa90-0541211bf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d82f13-83ba-4bcf-aa90-0541211bf8c7" xsi:nil="true"/>
    <lcf76f155ced4ddcb4097134ff3c332f xmlns="ee211459-efc8-437a-b925-f93b53dc74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5AFECC-5DBA-4282-846A-023AF0C2F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11459-efc8-437a-b925-f93b53dc7483"/>
    <ds:schemaRef ds:uri="97d82f13-83ba-4bcf-aa90-0541211bf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62446-7633-4D91-B9B8-6639D8D80FA2}">
  <ds:schemaRefs>
    <ds:schemaRef ds:uri="http://schemas.microsoft.com/sharepoint/v3/contenttype/forms"/>
  </ds:schemaRefs>
</ds:datastoreItem>
</file>

<file path=customXml/itemProps3.xml><?xml version="1.0" encoding="utf-8"?>
<ds:datastoreItem xmlns:ds="http://schemas.openxmlformats.org/officeDocument/2006/customXml" ds:itemID="{820EC669-1471-42E2-9D21-B6AA81E1EEA3}">
  <ds:schemaRefs>
    <ds:schemaRef ds:uri="http://schemas.microsoft.com/office/2006/metadata/properties"/>
    <ds:schemaRef ds:uri="http://schemas.microsoft.com/office/infopath/2007/PartnerControls"/>
    <ds:schemaRef ds:uri="e194f8ec-e1a2-4abb-b184-bf9f3af900f4"/>
    <ds:schemaRef ds:uri="ea187628-6a5a-4b90-b77a-5b74e64f7324"/>
    <ds:schemaRef ds:uri="97d82f13-83ba-4bcf-aa90-0541211bf8c7"/>
    <ds:schemaRef ds:uri="ee211459-efc8-437a-b925-f93b53dc748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718</Words>
  <Characters>3781</Characters>
  <Application>Microsoft Office Word</Application>
  <DocSecurity>0</DocSecurity>
  <Lines>67</Lines>
  <Paragraphs>33</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O'Loughlin (Omnicom)</dc:creator>
  <cp:keywords/>
  <dc:description/>
  <cp:lastModifiedBy>Sandy Gentry</cp:lastModifiedBy>
  <cp:revision>2</cp:revision>
  <dcterms:created xsi:type="dcterms:W3CDTF">2026-05-20T11:52:00Z</dcterms:created>
  <dcterms:modified xsi:type="dcterms:W3CDTF">2026-05-20T11:52:00Z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0x01010021BD4BC73B37D545A060B524CCB87366</vt:lpwstr>
  </property>
  <property fmtid="{D5CDD505-2E9C-101B-9397-08002B2CF9AE}" pid="3" name="MediaServiceImageTags">
    <vt:lpwstr/>
  </property>
</Properties>
</file>